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E48E9D">
      <w:pPr>
        <w:wordWrap w:val="0"/>
        <w:topLinePunct/>
        <w:adjustRightInd w:val="0"/>
        <w:snapToGrid w:val="0"/>
        <w:jc w:val="center"/>
        <w:rPr>
          <w:rFonts w:ascii="宋体" w:hAnsi="宋体"/>
          <w:b/>
          <w:sz w:val="32"/>
          <w:szCs w:val="32"/>
        </w:rPr>
      </w:pPr>
      <w:bookmarkStart w:id="3" w:name="_GoBack"/>
      <w:bookmarkEnd w:id="3"/>
      <w:r>
        <w:rPr>
          <w:rFonts w:hint="eastAsia" w:ascii="宋体" w:hAnsi="宋体"/>
          <w:b/>
          <w:sz w:val="32"/>
          <w:szCs w:val="32"/>
        </w:rPr>
        <w:t>站前横路32号青年员工周转房消防系统维修维保合同</w:t>
      </w:r>
    </w:p>
    <w:p w14:paraId="37DC4629">
      <w:pPr>
        <w:wordWrap w:val="0"/>
        <w:topLinePunct/>
        <w:adjustRightInd w:val="0"/>
        <w:snapToGrid w:val="0"/>
        <w:ind w:right="1124"/>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                                           </w:t>
      </w:r>
      <w:bookmarkStart w:id="0" w:name="contNumber"/>
      <w:r>
        <w:rPr>
          <w:rFonts w:hint="eastAsia" w:ascii="仿宋_GB2312" w:hAnsi="仿宋_GB2312" w:eastAsia="仿宋_GB2312" w:cs="仿宋_GB2312"/>
          <w:b/>
          <w:sz w:val="28"/>
          <w:szCs w:val="28"/>
        </w:rPr>
        <w:t>合同编号</w:t>
      </w:r>
      <w:bookmarkEnd w:id="0"/>
    </w:p>
    <w:p w14:paraId="2A2ED3CC">
      <w:pPr>
        <w:wordWrap w:val="0"/>
        <w:topLinePunct/>
        <w:adjustRightInd w:val="0"/>
        <w:snapToGrid w:val="0"/>
        <w:rPr>
          <w:rFonts w:ascii="仿宋_GB2312" w:hAnsi="仿宋_GB2312" w:eastAsia="仿宋_GB2312" w:cs="仿宋_GB2312"/>
          <w:sz w:val="28"/>
          <w:szCs w:val="28"/>
        </w:rPr>
      </w:pPr>
    </w:p>
    <w:p w14:paraId="778E9A39">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甲方：中国对外贸易中心集团有限公司</w:t>
      </w:r>
    </w:p>
    <w:p w14:paraId="3DE281EA">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住所：广州市海珠区阅江中路382号</w:t>
      </w:r>
    </w:p>
    <w:p w14:paraId="4C71CE43">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统一社会信用代码：91440000190346511F</w:t>
      </w:r>
    </w:p>
    <w:p w14:paraId="75EECD16">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法定代表人： </w:t>
      </w:r>
    </w:p>
    <w:p w14:paraId="137725A7">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电话：</w:t>
      </w:r>
      <w:r>
        <w:rPr>
          <w:rFonts w:hint="eastAsia" w:ascii="仿宋_GB2312" w:hAnsi="仿宋_GB2312" w:eastAsia="仿宋_GB2312" w:cs="仿宋_GB2312"/>
          <w:sz w:val="28"/>
          <w:szCs w:val="28"/>
          <w:u w:val="single"/>
        </w:rPr>
        <w:t xml:space="preserve">                </w:t>
      </w:r>
    </w:p>
    <w:p w14:paraId="09B5A94E">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电子邮箱：</w:t>
      </w:r>
      <w:r>
        <w:rPr>
          <w:rFonts w:hint="eastAsia" w:ascii="仿宋_GB2312" w:hAnsi="仿宋_GB2312" w:eastAsia="仿宋_GB2312" w:cs="仿宋_GB2312"/>
          <w:sz w:val="28"/>
          <w:szCs w:val="28"/>
          <w:u w:val="single"/>
        </w:rPr>
        <w:t xml:space="preserve">                </w:t>
      </w:r>
    </w:p>
    <w:p w14:paraId="4EF374D3">
      <w:pPr>
        <w:wordWrap w:val="0"/>
        <w:topLinePunct/>
        <w:adjustRightInd w:val="0"/>
        <w:snapToGrid w:val="0"/>
        <w:rPr>
          <w:rFonts w:ascii="仿宋_GB2312" w:hAnsi="仿宋_GB2312" w:eastAsia="仿宋_GB2312" w:cs="仿宋_GB2312"/>
          <w:sz w:val="28"/>
          <w:szCs w:val="28"/>
        </w:rPr>
      </w:pPr>
    </w:p>
    <w:p w14:paraId="70B5159B">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乙方：</w:t>
      </w:r>
      <w:r>
        <w:rPr>
          <w:rFonts w:hint="eastAsia" w:ascii="仿宋_GB2312" w:hAnsi="仿宋_GB2312" w:eastAsia="仿宋_GB2312" w:cs="仿宋_GB2312"/>
          <w:sz w:val="28"/>
          <w:szCs w:val="28"/>
          <w:u w:val="single"/>
        </w:rPr>
        <w:t xml:space="preserve">                       </w:t>
      </w:r>
    </w:p>
    <w:p w14:paraId="6EC1BAF5">
      <w:pPr>
        <w:wordWrap w:val="0"/>
        <w:topLinePunct/>
        <w:adjustRightInd w:val="0"/>
        <w:snapToGrid w:val="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住所：</w:t>
      </w:r>
      <w:r>
        <w:rPr>
          <w:rFonts w:hint="eastAsia" w:ascii="仿宋_GB2312" w:hAnsi="仿宋_GB2312" w:eastAsia="仿宋_GB2312" w:cs="仿宋_GB2312"/>
          <w:sz w:val="28"/>
          <w:szCs w:val="28"/>
          <w:u w:val="single"/>
        </w:rPr>
        <w:t xml:space="preserve">                       </w:t>
      </w:r>
    </w:p>
    <w:p w14:paraId="2C9BDC16">
      <w:pPr>
        <w:wordWrap w:val="0"/>
        <w:topLinePunct/>
        <w:adjustRightInd w:val="0"/>
        <w:snapToGrid w:val="0"/>
      </w:pPr>
      <w:r>
        <w:rPr>
          <w:rFonts w:hint="eastAsia" w:ascii="仿宋_GB2312" w:hAnsi="仿宋_GB2312" w:eastAsia="仿宋_GB2312" w:cs="仿宋_GB2312"/>
          <w:sz w:val="28"/>
          <w:szCs w:val="28"/>
        </w:rPr>
        <w:t>统一社会信用代码：</w:t>
      </w:r>
      <w:r>
        <w:rPr>
          <w:rFonts w:hint="eastAsia" w:ascii="仿宋_GB2312" w:hAnsi="仿宋_GB2312" w:eastAsia="仿宋_GB2312" w:cs="仿宋_GB2312"/>
          <w:sz w:val="28"/>
          <w:szCs w:val="28"/>
          <w:u w:val="single"/>
        </w:rPr>
        <w:t xml:space="preserve">                   </w:t>
      </w:r>
    </w:p>
    <w:p w14:paraId="708405FC">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w:t>
      </w:r>
      <w:r>
        <w:rPr>
          <w:rFonts w:hint="eastAsia" w:ascii="仿宋_GB2312" w:hAnsi="仿宋_GB2312" w:eastAsia="仿宋_GB2312" w:cs="仿宋_GB2312"/>
          <w:sz w:val="28"/>
          <w:szCs w:val="28"/>
          <w:u w:val="single"/>
        </w:rPr>
        <w:t xml:space="preserve">               </w:t>
      </w:r>
    </w:p>
    <w:p w14:paraId="2F77CA8A">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电话：</w:t>
      </w:r>
      <w:r>
        <w:rPr>
          <w:rFonts w:hint="eastAsia" w:ascii="仿宋_GB2312" w:hAnsi="仿宋_GB2312" w:eastAsia="仿宋_GB2312" w:cs="仿宋_GB2312"/>
          <w:sz w:val="28"/>
          <w:szCs w:val="28"/>
          <w:u w:val="single"/>
        </w:rPr>
        <w:t xml:space="preserve">                </w:t>
      </w:r>
    </w:p>
    <w:p w14:paraId="04C3A085">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电子邮箱：</w:t>
      </w:r>
      <w:r>
        <w:rPr>
          <w:rFonts w:hint="eastAsia" w:ascii="仿宋_GB2312" w:hAnsi="仿宋_GB2312" w:eastAsia="仿宋_GB2312" w:cs="仿宋_GB2312"/>
          <w:sz w:val="28"/>
          <w:szCs w:val="28"/>
          <w:u w:val="single"/>
        </w:rPr>
        <w:t xml:space="preserve">                 </w:t>
      </w:r>
    </w:p>
    <w:p w14:paraId="424080B7">
      <w:pPr>
        <w:wordWrap w:val="0"/>
        <w:topLinePunct/>
        <w:adjustRightInd w:val="0"/>
        <w:snapToGrid w:val="0"/>
        <w:rPr>
          <w:rFonts w:ascii="仿宋_GB2312" w:hAnsi="仿宋_GB2312" w:eastAsia="仿宋_GB2312" w:cs="仿宋_GB2312"/>
          <w:sz w:val="28"/>
          <w:szCs w:val="28"/>
        </w:rPr>
      </w:pPr>
    </w:p>
    <w:p w14:paraId="26FA7310">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中华人民共和国民法典》《中华人民共和国消防法》及有关法规的规定，在平等、自愿、协商一致的基础上，各自确认已充分知晓并理解本合同中全部条款的实质含义及其相应的法律后果，并基于此种理解，双方就乙方向甲方提供站前横路32号青年员工周转房消防系统维修维保服务达成一致，订立本合同。</w:t>
      </w:r>
    </w:p>
    <w:p w14:paraId="679291E7">
      <w:pPr>
        <w:topLinePunct/>
        <w:adjustRightInd w:val="0"/>
        <w:snapToGrid w:val="0"/>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第一条 合同服务期限</w:t>
      </w:r>
    </w:p>
    <w:p w14:paraId="247B4BF3">
      <w:pPr>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1.1本合同消防系统设备维修维护保养服务期限为1年，自</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日至</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14:paraId="5E54EE49">
      <w:pPr>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1.2消防设备设施迁移、更换、局部优化等整改工期为</w:t>
      </w:r>
      <w:r>
        <w:rPr>
          <w:rFonts w:ascii="仿宋_GB2312" w:hAnsi="仿宋_GB2312" w:eastAsia="仿宋_GB2312" w:cs="仿宋_GB2312"/>
          <w:sz w:val="28"/>
          <w:szCs w:val="28"/>
        </w:rPr>
        <w:t>10</w:t>
      </w:r>
      <w:r>
        <w:rPr>
          <w:rFonts w:hint="eastAsia" w:ascii="仿宋_GB2312" w:hAnsi="仿宋_GB2312" w:eastAsia="仿宋_GB2312" w:cs="仿宋_GB2312"/>
          <w:sz w:val="28"/>
          <w:szCs w:val="28"/>
        </w:rPr>
        <w:t>个日历天，即2025年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日至2025年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日，质保期2年。</w:t>
      </w:r>
    </w:p>
    <w:p w14:paraId="58C4D8F9">
      <w:pPr>
        <w:wordWrap w:val="0"/>
        <w:topLinePunct/>
        <w:adjustRightInd w:val="0"/>
        <w:snapToGrid w:val="0"/>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第二条 维修维保范围、维修维保服务内容及要求</w:t>
      </w:r>
    </w:p>
    <w:p w14:paraId="138BF9E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根据甲方站前横路32号修缮改造项目需求，需对物业原有消防设备设施进行维修维护，并在此基础上更换或迁移部分设备设施、优化局部消防设施布置、绘制专业的消防设备设施布置平面和系统图，满足修缮改造后消防要求。包括但不限于消防栓系统、自动喷淋系统、火灾自动报警系统、消防泵、消防水池、消防电源等进行全面系统检查和维修；在楼层公用厨房增加烟感，迁移湿式报警阀组和消防控制室；更换火灾报警控制器(联动型)主机、消防广播主机、消防电话主机；消防系统设备完成维修维护等。</w:t>
      </w:r>
    </w:p>
    <w:p w14:paraId="22241593">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维修维保维护服务遵循《广州市公安消防局建筑工程消防设计审核意见书》（穗公消（建）审[2000]第0240号）、《广州市公安消防局建筑工程消防验收意见书》（穗公消（建）验[2001]第381号）的审批意见开展。</w:t>
      </w:r>
    </w:p>
    <w:p w14:paraId="6B83C222">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（三）服务内容及要求</w:t>
      </w:r>
    </w:p>
    <w:p w14:paraId="3FC684A8">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乙方派出有资质、有能力的专业技术人员，按国家消防安全标准及消防系统设备生产厂家的工艺和规范，对设备进行维修、调试、检查、清洁、补漆等工作，保障设备正常运行。每月编写出具该月度的维护维保检测报告，并将其送甲方存档备案，根据消防部门建立的管理平台要求，进行巡查上传相关数据。</w:t>
      </w:r>
    </w:p>
    <w:p w14:paraId="187CBAD6">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2.乙方按要求系统地维修、检查、调校、清洁、测试所有消防系统设备性能，并根据设备状况要求，修理或更换零部件。</w:t>
      </w:r>
    </w:p>
    <w:p w14:paraId="31642838">
      <w:pPr>
        <w:wordWrap w:val="0"/>
        <w:topLinePunct/>
        <w:adjustRightInd w:val="0"/>
        <w:snapToGrid w:val="0"/>
        <w:ind w:firstLine="560" w:firstLineChars="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3.有关法律、法规、规章、政策性文件改变时，对于甲方在前述文件的指引下，提出新的合理建议或工作安排，乙方必须无偿执行。</w:t>
      </w:r>
    </w:p>
    <w:p w14:paraId="1BA26E25">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4.乙方在签订合同之日起，7个日历天内向甲方提交站前横路32号青年员工周转房的所有消防设施的检测报告，以便甄别故障责任。</w:t>
      </w:r>
    </w:p>
    <w:p w14:paraId="6D78255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（四）维修项目清单</w:t>
      </w:r>
    </w:p>
    <w:p w14:paraId="4D63FDD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维修项目和清单详见附件4，此维修项目和清单内的设备设施的质保期为2年，自甲乙双方通过验收合格日起计。</w:t>
      </w:r>
    </w:p>
    <w:p w14:paraId="5BF79E49">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Cs w:val="28"/>
        </w:rPr>
        <w:t xml:space="preserve">    </w:t>
      </w:r>
      <w:r>
        <w:rPr>
          <w:rFonts w:hint="eastAsia" w:ascii="仿宋_GB2312" w:hAnsi="仿宋_GB2312" w:eastAsia="仿宋_GB2312" w:cs="仿宋_GB2312"/>
          <w:sz w:val="28"/>
          <w:szCs w:val="28"/>
        </w:rPr>
        <w:t>（五）维保项目和设备</w:t>
      </w:r>
    </w:p>
    <w:p w14:paraId="378344F1">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消防报警系统：包括火灾报警主机、终端图文显示装置、楼层显示器、打印机、感烟探测器、感温探测器、手动报警按钮、消火栓按钮、声光报警器、控制模块、信号模块、信号控制线路、消防电话主机、专线电话及电话插孔，报警线路、电话线路、线槽线管等。</w:t>
      </w:r>
    </w:p>
    <w:p w14:paraId="4095A5BB">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水喷淋灭火系统：包括各式喷淋头、湿式报警阀、水流指示器、喷淋主泵、稳压泵、辅助泵、气压罐、电源控制柜及线路、水泵接合器、压力开关、分区闸阀、信号阀、末端试水装置、压力表、泄水阀、喷淋供水管网等。</w:t>
      </w:r>
    </w:p>
    <w:p w14:paraId="63600E39">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消防栓灭火系统：包括消火栓主泵、稳压泵及其控制柜和线路、室内消火栓、室外消火栓、移动消火栓、供水管道、阀门、闸阀、接合器、泄压阀、止回阀、气压罐、消防栓箱、软管水喉、水枪、水带、灭火瓶、防毒面具等。</w:t>
      </w:r>
    </w:p>
    <w:p w14:paraId="7A85D44E">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联动控制系统：包括消防联动控制柜、消防专用电源、消防备用电源（电池）、消防泵联动、排送风联动、防排烟联动、排烟天窗联动、消防电梯联动控制、应急广播联动控制、非消防低压供电电源强切、连接各系统的联动模块及连接线路等。</w:t>
      </w:r>
    </w:p>
    <w:p w14:paraId="02A74F5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 防排烟系统：包括防火阀、排烟阀、排烟窗装置、强排烟风机、正压送风机、控制箱、电源控制及线路、烟气管道等。</w:t>
      </w:r>
    </w:p>
    <w:p w14:paraId="45398174">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6.安全疏散系统：应急照明、疏散指示标志、疏散指示灯、控制箱、控制设备线路及线槽线管等。</w:t>
      </w:r>
    </w:p>
    <w:p w14:paraId="79F9062D">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7.消防广播系统：包括应急广播控制盒、扩音机、喇叭、自动播音等。</w:t>
      </w:r>
    </w:p>
    <w:p w14:paraId="0BE634C8">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8.消防器材：干粉灭火器、防毒面具、沙桶等。</w:t>
      </w:r>
    </w:p>
    <w:p w14:paraId="15600F0E">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9.与消防有关的其他项目和设备。</w:t>
      </w:r>
    </w:p>
    <w:p w14:paraId="7A405865">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（六）维保要求</w:t>
      </w:r>
    </w:p>
    <w:p w14:paraId="5B81A82D">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1.消防报警系统</w:t>
      </w:r>
    </w:p>
    <w:p w14:paraId="6DF5F47D">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（1）定期每月抽测探测器的动作与功能，确保探测器无障碍物、反应灵敏，及时更换损坏的设备。</w:t>
      </w:r>
    </w:p>
    <w:p w14:paraId="42BD3200">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（2）定期每月抽查测试手动报警按钮、声光报警器、消防电话、电话插孔的动作功能及完好情况，及时更换损坏的设备。</w:t>
      </w:r>
    </w:p>
    <w:p w14:paraId="5AF8A7B9">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（3）每6个月测试消防广播主机的各项功能。</w:t>
      </w:r>
    </w:p>
    <w:p w14:paraId="07DE255D">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（4）每3个月试验各系统与联动控制柜的联动功能，及时处理或更换故障部件确保功能正常。</w:t>
      </w:r>
    </w:p>
    <w:p w14:paraId="7DEE813B">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（5）每6个月检测电话主机各项功能，及时处理或更换故障部件确保功能正常。</w:t>
      </w:r>
    </w:p>
    <w:p w14:paraId="497245E0">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（6）每3个月检测消防主机各项功能。</w:t>
      </w:r>
    </w:p>
    <w:p w14:paraId="1C9FE188">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（7）每6个月对消防电源测试，每次测试包括备用电池进行1-2次放充电试验，1-3次主电源和备用电源自动转换试验。</w:t>
      </w:r>
    </w:p>
    <w:p w14:paraId="73962030">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（8）每6个月检测红外线探测器报警功能，每次测试总数量的50%，一年为一个周期。</w:t>
      </w:r>
    </w:p>
    <w:p w14:paraId="1C53E512">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（9）每6个月清洁一次红外线探测器，并使用专用调整及参数测试工具，对偏移的探测器进行校对，及时处理或更换故障部件确保功能正常。</w:t>
      </w:r>
    </w:p>
    <w:p w14:paraId="3523D3E3">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（10）每6个月对各台图形显示控制系统进行功能检测、备份历史资料、及时排除软件系统故障。</w:t>
      </w:r>
    </w:p>
    <w:p w14:paraId="687AA5A2">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（11）检测并排除消防报警系统出现的故障和缺陷（包括报警回路故障），恢复系统的完好性；及时修复或更换损坏设备。</w:t>
      </w:r>
    </w:p>
    <w:p w14:paraId="130372D2">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2.消防水系统</w:t>
      </w:r>
    </w:p>
    <w:p w14:paraId="3EE252D8">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（1）定期每月抽测室内外消火栓的出口静水压、水泵接合器的工作状态，及时处理或更换故障部件确保功能正常。</w:t>
      </w:r>
    </w:p>
    <w:p w14:paraId="1DC6A150">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（2）定期每月检查水系统主要阀门、管道是否漏水及支架稳固情况等。</w:t>
      </w:r>
    </w:p>
    <w:p w14:paraId="43BD416A">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定期每月检查室内消防箱、手提式灭火器、移动式灭火器（包括远机位）、防烟面具、水枪、水带、消防水喉，及时处理或更换故障部件确保功能正常。保持室内消火栓箱卫生整洁，清理阻挡室外消火栓的杂物。</w:t>
      </w:r>
    </w:p>
    <w:p w14:paraId="59B0FAB6">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（4）定期每月抽查喷淋头的完好情况，确保喷淋头清洁，无障碍物。</w:t>
      </w:r>
    </w:p>
    <w:p w14:paraId="43C90982">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（5）定期每月抽查末端放水、水流指示器、信号闸阀、湿式报警阀的动作功能及时处理或更换故障部件确保功能正常。</w:t>
      </w:r>
    </w:p>
    <w:p w14:paraId="22B1DD88">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（6）一般性维护维保：调整水系统不正常状态、加注润滑剂、刷防锈漆、卫生清洁。</w:t>
      </w:r>
    </w:p>
    <w:p w14:paraId="0DA19E24">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（7）定期每周对泵房内所有消防泵进行启/停测试，排除消防水泵及其控制电柜（包括泵房内排污泵、风机等设备）出现的故障和缺陷，恢复系统的完好性。</w:t>
      </w:r>
    </w:p>
    <w:p w14:paraId="4C598694">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（8）定期每6个月对室外消防栓进行一次刷漆翻新。</w:t>
      </w:r>
    </w:p>
    <w:p w14:paraId="51BF38C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（9）凡属喷淋系统的故障维修必须当日处理。</w:t>
      </w:r>
    </w:p>
    <w:p w14:paraId="00DAB08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3.防排烟系统及排烟窗</w:t>
      </w:r>
    </w:p>
    <w:p w14:paraId="6BB4C365">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（1）定期每月抽测消防风机及控制柜，及时处理或更换故障部件确保功能正常。</w:t>
      </w:r>
    </w:p>
    <w:p w14:paraId="3E126BF0">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（2）每3个月抽查排烟阀并进行清洁、除锈、上油等工作。</w:t>
      </w:r>
    </w:p>
    <w:p w14:paraId="387DB872">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（3）定期每月测试排烟窗软/硬控制及现场手动启闭功能，及时处理或更换故障部件确保功能正常。</w:t>
      </w:r>
    </w:p>
    <w:p w14:paraId="28B8C22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（4）检测并排除防排烟系统及排烟窗出现的故障和缺陷，恢复系统的完好性。</w:t>
      </w:r>
    </w:p>
    <w:p w14:paraId="227A1685">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6.其他系统</w:t>
      </w:r>
    </w:p>
    <w:p w14:paraId="17F9D9A8">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（1）每6个月测试消防广播系统的广播、自动播音、扩音机和喇叭的功能，排除系统出现的故障问题。</w:t>
      </w:r>
    </w:p>
    <w:p w14:paraId="0FFC3D9C">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（2）每3个月完成对项目应急疏散指示标志、疏散指示灯和应急灯的检查维保，及时排除出现的问题，确保应急疏散指示系统完好性。</w:t>
      </w:r>
    </w:p>
    <w:p w14:paraId="133B49EA">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7.维保台帐</w:t>
      </w:r>
    </w:p>
    <w:p w14:paraId="6D41C6F4">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（1）做出半年维护维保计划，形成周、月、季、半年的维保进度时间方案，按计划有步骤的进行维保工作。</w:t>
      </w:r>
    </w:p>
    <w:p w14:paraId="02B3A05C">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（2）形成完备的维护维保记录合帐。各系统的周、月、季、半年的巡检记录，故障处理记录，设施设备及零部件更换记录等。</w:t>
      </w:r>
    </w:p>
    <w:p w14:paraId="70845B49">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（3）乙方每月3日前，将上月的维保情况、故障维修情况及系统运行评估情况形成文字材料上报甲方监管部门。</w:t>
      </w:r>
    </w:p>
    <w:p w14:paraId="78A09457">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（4）配合甲方进行各种例行消防检查。</w:t>
      </w:r>
    </w:p>
    <w:p w14:paraId="64A8B939">
      <w:pPr>
        <w:wordWrap w:val="0"/>
        <w:topLinePunct/>
        <w:adjustRightInd w:val="0"/>
        <w:snapToGrid w:val="0"/>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第三条  维保人员配置及要求</w:t>
      </w:r>
    </w:p>
    <w:p w14:paraId="1955D959">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乙方派出相关人员为甲方提供维保服务，维保人员配置及资质要求详见下表。合同执行期间，乙方要求更换合同主要维保人员，应该获得甲方书面同意，并且新的合同主要维保人员的资格、资历不应低于原来主要维保人员；甲方认为主要维保人员不再合适的，乙方应在接到甲方更换通知书之日起5个工作日内另行推荐不少于被替换人员数2名资格、资历不低于主要维保人员要求的候选成员供甲方选择。</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632"/>
        <w:gridCol w:w="2130"/>
        <w:gridCol w:w="3524"/>
      </w:tblGrid>
      <w:tr w14:paraId="41CC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1" w:type="dxa"/>
            <w:tcBorders>
              <w:top w:val="single" w:color="auto" w:sz="4" w:space="0"/>
              <w:left w:val="single" w:color="auto" w:sz="4" w:space="0"/>
              <w:bottom w:val="single" w:color="auto" w:sz="4" w:space="0"/>
              <w:right w:val="single" w:color="auto" w:sz="4" w:space="0"/>
            </w:tcBorders>
            <w:vAlign w:val="center"/>
          </w:tcPr>
          <w:p w14:paraId="5BD46EC7">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1632" w:type="dxa"/>
            <w:tcBorders>
              <w:top w:val="single" w:color="auto" w:sz="4" w:space="0"/>
              <w:left w:val="single" w:color="auto" w:sz="4" w:space="0"/>
              <w:bottom w:val="single" w:color="auto" w:sz="4" w:space="0"/>
              <w:right w:val="single" w:color="auto" w:sz="4" w:space="0"/>
            </w:tcBorders>
            <w:vAlign w:val="center"/>
          </w:tcPr>
          <w:p w14:paraId="56210CAB">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职务</w:t>
            </w:r>
          </w:p>
        </w:tc>
        <w:tc>
          <w:tcPr>
            <w:tcW w:w="2130" w:type="dxa"/>
            <w:tcBorders>
              <w:top w:val="single" w:color="auto" w:sz="4" w:space="0"/>
              <w:left w:val="single" w:color="auto" w:sz="4" w:space="0"/>
              <w:bottom w:val="single" w:color="auto" w:sz="4" w:space="0"/>
              <w:right w:val="single" w:color="auto" w:sz="4" w:space="0"/>
            </w:tcBorders>
            <w:vAlign w:val="center"/>
          </w:tcPr>
          <w:p w14:paraId="1DAB2823">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岗位当值人数</w:t>
            </w:r>
          </w:p>
        </w:tc>
        <w:tc>
          <w:tcPr>
            <w:tcW w:w="3524" w:type="dxa"/>
            <w:tcBorders>
              <w:top w:val="single" w:color="auto" w:sz="4" w:space="0"/>
              <w:left w:val="single" w:color="auto" w:sz="4" w:space="0"/>
              <w:bottom w:val="single" w:color="auto" w:sz="4" w:space="0"/>
              <w:right w:val="single" w:color="auto" w:sz="4" w:space="0"/>
            </w:tcBorders>
            <w:vAlign w:val="center"/>
          </w:tcPr>
          <w:p w14:paraId="5EABB939">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资质情况</w:t>
            </w:r>
          </w:p>
        </w:tc>
      </w:tr>
      <w:tr w14:paraId="3C4B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1" w:type="dxa"/>
            <w:tcBorders>
              <w:top w:val="single" w:color="auto" w:sz="4" w:space="0"/>
              <w:left w:val="single" w:color="auto" w:sz="4" w:space="0"/>
              <w:bottom w:val="single" w:color="auto" w:sz="4" w:space="0"/>
              <w:right w:val="single" w:color="auto" w:sz="4" w:space="0"/>
            </w:tcBorders>
            <w:vAlign w:val="center"/>
          </w:tcPr>
          <w:p w14:paraId="0E7C3A17">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632" w:type="dxa"/>
            <w:tcBorders>
              <w:top w:val="single" w:color="auto" w:sz="4" w:space="0"/>
              <w:left w:val="single" w:color="auto" w:sz="4" w:space="0"/>
              <w:bottom w:val="single" w:color="auto" w:sz="4" w:space="0"/>
              <w:right w:val="single" w:color="auto" w:sz="4" w:space="0"/>
            </w:tcBorders>
            <w:vAlign w:val="center"/>
          </w:tcPr>
          <w:p w14:paraId="5D5AEC64">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现场负责人</w:t>
            </w:r>
          </w:p>
        </w:tc>
        <w:tc>
          <w:tcPr>
            <w:tcW w:w="2130" w:type="dxa"/>
            <w:tcBorders>
              <w:top w:val="single" w:color="auto" w:sz="4" w:space="0"/>
              <w:left w:val="single" w:color="auto" w:sz="4" w:space="0"/>
              <w:bottom w:val="single" w:color="auto" w:sz="4" w:space="0"/>
              <w:right w:val="single" w:color="auto" w:sz="4" w:space="0"/>
            </w:tcBorders>
            <w:vAlign w:val="center"/>
          </w:tcPr>
          <w:p w14:paraId="55CB0A5C">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3524" w:type="dxa"/>
            <w:tcBorders>
              <w:top w:val="single" w:color="auto" w:sz="4" w:space="0"/>
              <w:left w:val="single" w:color="auto" w:sz="4" w:space="0"/>
              <w:bottom w:val="single" w:color="auto" w:sz="4" w:space="0"/>
              <w:right w:val="single" w:color="auto" w:sz="4" w:space="0"/>
            </w:tcBorders>
            <w:vAlign w:val="center"/>
          </w:tcPr>
          <w:p w14:paraId="346F07B2">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持有中级或以上《中华人民共和国建（构）筑物消防员》证或持有消防设施操作员证</w:t>
            </w:r>
          </w:p>
        </w:tc>
      </w:tr>
      <w:tr w14:paraId="69A3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1" w:type="dxa"/>
            <w:tcBorders>
              <w:top w:val="single" w:color="auto" w:sz="4" w:space="0"/>
              <w:left w:val="single" w:color="auto" w:sz="4" w:space="0"/>
              <w:bottom w:val="single" w:color="auto" w:sz="4" w:space="0"/>
              <w:right w:val="single" w:color="auto" w:sz="4" w:space="0"/>
            </w:tcBorders>
            <w:vAlign w:val="center"/>
          </w:tcPr>
          <w:p w14:paraId="7591AABA">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632" w:type="dxa"/>
            <w:tcBorders>
              <w:top w:val="single" w:color="auto" w:sz="4" w:space="0"/>
              <w:left w:val="single" w:color="auto" w:sz="4" w:space="0"/>
              <w:bottom w:val="single" w:color="auto" w:sz="4" w:space="0"/>
              <w:right w:val="single" w:color="auto" w:sz="4" w:space="0"/>
            </w:tcBorders>
            <w:vAlign w:val="center"/>
          </w:tcPr>
          <w:p w14:paraId="4D5F0405">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维修维保人员</w:t>
            </w:r>
          </w:p>
        </w:tc>
        <w:tc>
          <w:tcPr>
            <w:tcW w:w="2130" w:type="dxa"/>
            <w:tcBorders>
              <w:top w:val="single" w:color="auto" w:sz="4" w:space="0"/>
              <w:left w:val="single" w:color="auto" w:sz="4" w:space="0"/>
              <w:bottom w:val="single" w:color="auto" w:sz="4" w:space="0"/>
              <w:right w:val="single" w:color="auto" w:sz="4" w:space="0"/>
            </w:tcBorders>
            <w:vAlign w:val="center"/>
          </w:tcPr>
          <w:p w14:paraId="4DF1A152">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3524" w:type="dxa"/>
            <w:tcBorders>
              <w:top w:val="single" w:color="auto" w:sz="4" w:space="0"/>
              <w:left w:val="single" w:color="auto" w:sz="4" w:space="0"/>
              <w:bottom w:val="single" w:color="auto" w:sz="4" w:space="0"/>
              <w:right w:val="single" w:color="auto" w:sz="4" w:space="0"/>
            </w:tcBorders>
            <w:vAlign w:val="center"/>
          </w:tcPr>
          <w:p w14:paraId="4B951E82">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持有初级或以上《中华人民共和国建（构）筑物消防员》证，或持有消防设施操作员证。</w:t>
            </w:r>
          </w:p>
        </w:tc>
      </w:tr>
    </w:tbl>
    <w:p w14:paraId="62BF5CB9">
      <w:pPr>
        <w:wordWrap w:val="0"/>
        <w:topLinePunct/>
        <w:adjustRightInd w:val="0"/>
        <w:snapToGrid w:val="0"/>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第四条 部分故障处理及响应时间要求</w:t>
      </w:r>
    </w:p>
    <w:p w14:paraId="026FE19D">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一）乙方维保人员必须设立24小时值班应急电话，做到随传随到。当消防系统各类设备出现突发性故障，乙方应在接到甲方通知（通知方式以使乙方尽快知晓为准，由甲方选择）后人员必须在1小时内到达现场，并在24小时内抢修完毕（需要外购设备更换、设备送外维修及土建施工等情况除外）。</w:t>
      </w:r>
    </w:p>
    <w:p w14:paraId="331ACBF3">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（二）若甲方在使用过程中遇到问题需要向乙方咨询，乙方必须积极解答并协助甲方解决问题。</w:t>
      </w:r>
    </w:p>
    <w:p w14:paraId="1B2DAE83">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（三）若甲方因节假日或其他原因要求乙方人员跟随甲方进行消防检查，或要求乙方对合同约定维保内容进行抽查复核时，乙方必须积极配合甲方。</w:t>
      </w:r>
    </w:p>
    <w:p w14:paraId="1EFC6F24">
      <w:pPr>
        <w:wordWrap w:val="0"/>
        <w:topLinePunct/>
        <w:adjustRightInd w:val="0"/>
        <w:snapToGrid w:val="0"/>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第五条 履行监督评分标准</w:t>
      </w:r>
    </w:p>
    <w:p w14:paraId="4C81BF93">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（一）每月甲方对乙方维保工作可以随时通过抽查、询问等方式进行监督并考核打分，考核结果与维保费挂钩。对于考核结果，甲方有独立判断并决定的权利，乙方无正当理由及充分证据的，不得提出异议。</w:t>
      </w:r>
    </w:p>
    <w:tbl>
      <w:tblPr>
        <w:tblStyle w:val="1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515"/>
        <w:gridCol w:w="4346"/>
      </w:tblGrid>
      <w:tr w14:paraId="4B51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4355E7EF">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0" w:type="auto"/>
            <w:tcBorders>
              <w:top w:val="single" w:color="auto" w:sz="4" w:space="0"/>
              <w:left w:val="single" w:color="auto" w:sz="4" w:space="0"/>
              <w:bottom w:val="single" w:color="auto" w:sz="4" w:space="0"/>
              <w:right w:val="single" w:color="auto" w:sz="4" w:space="0"/>
            </w:tcBorders>
            <w:vAlign w:val="center"/>
          </w:tcPr>
          <w:p w14:paraId="46AE9E59">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评分</w:t>
            </w:r>
          </w:p>
        </w:tc>
        <w:tc>
          <w:tcPr>
            <w:tcW w:w="0" w:type="auto"/>
            <w:tcBorders>
              <w:top w:val="single" w:color="auto" w:sz="4" w:space="0"/>
              <w:left w:val="single" w:color="auto" w:sz="4" w:space="0"/>
              <w:bottom w:val="single" w:color="auto" w:sz="4" w:space="0"/>
              <w:right w:val="single" w:color="auto" w:sz="4" w:space="0"/>
            </w:tcBorders>
            <w:vAlign w:val="center"/>
          </w:tcPr>
          <w:p w14:paraId="67039229">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扣除维保费标准</w:t>
            </w:r>
          </w:p>
        </w:tc>
      </w:tr>
      <w:tr w14:paraId="4E30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69DAA24">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0" w:type="auto"/>
            <w:tcBorders>
              <w:top w:val="single" w:color="auto" w:sz="4" w:space="0"/>
              <w:left w:val="single" w:color="auto" w:sz="4" w:space="0"/>
              <w:bottom w:val="single" w:color="auto" w:sz="4" w:space="0"/>
              <w:right w:val="single" w:color="auto" w:sz="4" w:space="0"/>
            </w:tcBorders>
            <w:vAlign w:val="center"/>
          </w:tcPr>
          <w:p w14:paraId="23DADB68">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90-100</w:t>
            </w:r>
          </w:p>
        </w:tc>
        <w:tc>
          <w:tcPr>
            <w:tcW w:w="0" w:type="auto"/>
            <w:tcBorders>
              <w:top w:val="single" w:color="auto" w:sz="4" w:space="0"/>
              <w:left w:val="single" w:color="auto" w:sz="4" w:space="0"/>
              <w:bottom w:val="single" w:color="auto" w:sz="4" w:space="0"/>
              <w:right w:val="single" w:color="auto" w:sz="4" w:space="0"/>
            </w:tcBorders>
            <w:vAlign w:val="center"/>
          </w:tcPr>
          <w:p w14:paraId="46FA89DB">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不扣除维保费</w:t>
            </w:r>
          </w:p>
        </w:tc>
      </w:tr>
      <w:tr w14:paraId="2755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0236485">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0" w:type="auto"/>
            <w:tcBorders>
              <w:top w:val="single" w:color="auto" w:sz="4" w:space="0"/>
              <w:left w:val="single" w:color="auto" w:sz="4" w:space="0"/>
              <w:bottom w:val="single" w:color="auto" w:sz="4" w:space="0"/>
              <w:right w:val="single" w:color="auto" w:sz="4" w:space="0"/>
            </w:tcBorders>
            <w:vAlign w:val="center"/>
          </w:tcPr>
          <w:p w14:paraId="26F4EFB6">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80-90</w:t>
            </w:r>
          </w:p>
        </w:tc>
        <w:tc>
          <w:tcPr>
            <w:tcW w:w="0" w:type="auto"/>
            <w:tcBorders>
              <w:top w:val="single" w:color="auto" w:sz="4" w:space="0"/>
              <w:left w:val="single" w:color="auto" w:sz="4" w:space="0"/>
              <w:bottom w:val="single" w:color="auto" w:sz="4" w:space="0"/>
              <w:right w:val="single" w:color="auto" w:sz="4" w:space="0"/>
            </w:tcBorders>
            <w:vAlign w:val="center"/>
          </w:tcPr>
          <w:p w14:paraId="0F12BF79">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扣除维保费100元</w:t>
            </w:r>
          </w:p>
        </w:tc>
      </w:tr>
      <w:tr w14:paraId="3B11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29471D5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0" w:type="auto"/>
            <w:tcBorders>
              <w:top w:val="single" w:color="auto" w:sz="4" w:space="0"/>
              <w:left w:val="single" w:color="auto" w:sz="4" w:space="0"/>
              <w:bottom w:val="single" w:color="auto" w:sz="4" w:space="0"/>
              <w:right w:val="single" w:color="auto" w:sz="4" w:space="0"/>
            </w:tcBorders>
            <w:vAlign w:val="center"/>
          </w:tcPr>
          <w:p w14:paraId="141E3FA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70-80</w:t>
            </w:r>
          </w:p>
        </w:tc>
        <w:tc>
          <w:tcPr>
            <w:tcW w:w="0" w:type="auto"/>
            <w:tcBorders>
              <w:top w:val="single" w:color="auto" w:sz="4" w:space="0"/>
              <w:left w:val="single" w:color="auto" w:sz="4" w:space="0"/>
              <w:bottom w:val="single" w:color="auto" w:sz="4" w:space="0"/>
              <w:right w:val="single" w:color="auto" w:sz="4" w:space="0"/>
            </w:tcBorders>
            <w:vAlign w:val="center"/>
          </w:tcPr>
          <w:p w14:paraId="5638147C">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扣除维保费200元</w:t>
            </w:r>
          </w:p>
        </w:tc>
      </w:tr>
      <w:tr w14:paraId="0D69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EF973C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0" w:type="auto"/>
            <w:tcBorders>
              <w:top w:val="single" w:color="auto" w:sz="4" w:space="0"/>
              <w:left w:val="single" w:color="auto" w:sz="4" w:space="0"/>
              <w:bottom w:val="single" w:color="auto" w:sz="4" w:space="0"/>
              <w:right w:val="single" w:color="auto" w:sz="4" w:space="0"/>
            </w:tcBorders>
            <w:vAlign w:val="center"/>
          </w:tcPr>
          <w:p w14:paraId="27A25841">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60-70</w:t>
            </w:r>
          </w:p>
        </w:tc>
        <w:tc>
          <w:tcPr>
            <w:tcW w:w="0" w:type="auto"/>
            <w:tcBorders>
              <w:top w:val="single" w:color="auto" w:sz="4" w:space="0"/>
              <w:left w:val="single" w:color="auto" w:sz="4" w:space="0"/>
              <w:bottom w:val="single" w:color="auto" w:sz="4" w:space="0"/>
              <w:right w:val="single" w:color="auto" w:sz="4" w:space="0"/>
            </w:tcBorders>
            <w:vAlign w:val="center"/>
          </w:tcPr>
          <w:p w14:paraId="30C9E5E2">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扣除维保费300元</w:t>
            </w:r>
          </w:p>
        </w:tc>
      </w:tr>
      <w:tr w14:paraId="1005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9A200E1">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0" w:type="auto"/>
            <w:tcBorders>
              <w:top w:val="single" w:color="auto" w:sz="4" w:space="0"/>
              <w:left w:val="single" w:color="auto" w:sz="4" w:space="0"/>
              <w:bottom w:val="single" w:color="auto" w:sz="4" w:space="0"/>
              <w:right w:val="single" w:color="auto" w:sz="4" w:space="0"/>
            </w:tcBorders>
            <w:vAlign w:val="center"/>
          </w:tcPr>
          <w:p w14:paraId="19D4B578">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60分以下</w:t>
            </w:r>
          </w:p>
        </w:tc>
        <w:tc>
          <w:tcPr>
            <w:tcW w:w="0" w:type="auto"/>
            <w:tcBorders>
              <w:top w:val="single" w:color="auto" w:sz="4" w:space="0"/>
              <w:left w:val="single" w:color="auto" w:sz="4" w:space="0"/>
              <w:bottom w:val="single" w:color="auto" w:sz="4" w:space="0"/>
              <w:right w:val="single" w:color="auto" w:sz="4" w:space="0"/>
            </w:tcBorders>
            <w:vAlign w:val="center"/>
          </w:tcPr>
          <w:p w14:paraId="5D23FD94">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甲方单方解除合同</w:t>
            </w:r>
          </w:p>
        </w:tc>
      </w:tr>
    </w:tbl>
    <w:p w14:paraId="11FFD00D">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评分低于60分的，甲方有权单方解除本合同，不支付任何费用，且乙方须支付相当于合同金额10%的违约金，违约金不足以弥补甲方损失的，乙方还应补足差额部分。</w:t>
      </w:r>
    </w:p>
    <w:p w14:paraId="42E9C545">
      <w:pPr>
        <w:wordWrap w:val="0"/>
        <w:topLinePunct/>
        <w:adjustRightInd w:val="0"/>
        <w:snapToGrid w:val="0"/>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（二）具体评分内容及扣分标准。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783"/>
        <w:gridCol w:w="6642"/>
      </w:tblGrid>
      <w:tr w14:paraId="1E49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5E3D821A">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3" w:type="dxa"/>
            <w:tcBorders>
              <w:top w:val="single" w:color="auto" w:sz="4" w:space="0"/>
              <w:left w:val="single" w:color="auto" w:sz="4" w:space="0"/>
              <w:bottom w:val="single" w:color="auto" w:sz="4" w:space="0"/>
              <w:right w:val="single" w:color="auto" w:sz="4" w:space="0"/>
            </w:tcBorders>
            <w:vAlign w:val="center"/>
          </w:tcPr>
          <w:p w14:paraId="55690471">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扣分分值</w:t>
            </w:r>
          </w:p>
        </w:tc>
        <w:tc>
          <w:tcPr>
            <w:tcW w:w="6642" w:type="dxa"/>
            <w:tcBorders>
              <w:top w:val="single" w:color="auto" w:sz="4" w:space="0"/>
              <w:left w:val="single" w:color="auto" w:sz="4" w:space="0"/>
              <w:bottom w:val="single" w:color="auto" w:sz="4" w:space="0"/>
              <w:right w:val="single" w:color="auto" w:sz="4" w:space="0"/>
            </w:tcBorders>
            <w:vAlign w:val="center"/>
          </w:tcPr>
          <w:p w14:paraId="5CDA5ED7">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评分内容</w:t>
            </w:r>
          </w:p>
        </w:tc>
      </w:tr>
      <w:tr w14:paraId="7783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021B0F96">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783" w:type="dxa"/>
            <w:tcBorders>
              <w:top w:val="single" w:color="auto" w:sz="4" w:space="0"/>
              <w:left w:val="single" w:color="auto" w:sz="4" w:space="0"/>
              <w:bottom w:val="single" w:color="auto" w:sz="4" w:space="0"/>
              <w:right w:val="single" w:color="auto" w:sz="4" w:space="0"/>
            </w:tcBorders>
            <w:vAlign w:val="center"/>
          </w:tcPr>
          <w:p w14:paraId="7BE4CCC0">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6B15C3FB">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抽查结果没有达到“定期检查探测器反应灵敏，清理障碍物及时更换损坏的设备”要求，或无相关定期检查记录。</w:t>
            </w:r>
          </w:p>
        </w:tc>
      </w:tr>
      <w:tr w14:paraId="1796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6ADDC234">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783" w:type="dxa"/>
            <w:tcBorders>
              <w:top w:val="single" w:color="auto" w:sz="4" w:space="0"/>
              <w:left w:val="single" w:color="auto" w:sz="4" w:space="0"/>
              <w:bottom w:val="single" w:color="auto" w:sz="4" w:space="0"/>
              <w:right w:val="single" w:color="auto" w:sz="4" w:space="0"/>
            </w:tcBorders>
            <w:vAlign w:val="center"/>
          </w:tcPr>
          <w:p w14:paraId="110256B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6A403676">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抽查结果没有达到“定期抽查测试手动报警按钮、声光报警器、消防电话、电话插孔的动作功能及完好情况”要求，或无相关定期检查记录。</w:t>
            </w:r>
          </w:p>
        </w:tc>
      </w:tr>
      <w:tr w14:paraId="70D1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3FF66554">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783" w:type="dxa"/>
            <w:tcBorders>
              <w:top w:val="single" w:color="auto" w:sz="4" w:space="0"/>
              <w:left w:val="single" w:color="auto" w:sz="4" w:space="0"/>
              <w:bottom w:val="single" w:color="auto" w:sz="4" w:space="0"/>
              <w:right w:val="single" w:color="auto" w:sz="4" w:space="0"/>
            </w:tcBorders>
            <w:vAlign w:val="center"/>
          </w:tcPr>
          <w:p w14:paraId="21311FCF">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5364D753">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抽查结果没有达到“定期测试消防广播主机的各项功能”要求，或无相关定期检查记录。</w:t>
            </w:r>
          </w:p>
        </w:tc>
      </w:tr>
      <w:tr w14:paraId="6430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1EC201F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783" w:type="dxa"/>
            <w:tcBorders>
              <w:top w:val="single" w:color="auto" w:sz="4" w:space="0"/>
              <w:left w:val="single" w:color="auto" w:sz="4" w:space="0"/>
              <w:bottom w:val="single" w:color="auto" w:sz="4" w:space="0"/>
              <w:right w:val="single" w:color="auto" w:sz="4" w:space="0"/>
            </w:tcBorders>
            <w:vAlign w:val="center"/>
          </w:tcPr>
          <w:p w14:paraId="6EB8EBC4">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7C3EE719">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抽查结果没有达到“定期试验各系统与联动控制柜的联动功能，联动柜声光显示是否正常” 要求，或无相关定期检查记录。</w:t>
            </w:r>
          </w:p>
        </w:tc>
      </w:tr>
      <w:tr w14:paraId="65EC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305559AA">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783" w:type="dxa"/>
            <w:tcBorders>
              <w:top w:val="single" w:color="auto" w:sz="4" w:space="0"/>
              <w:left w:val="single" w:color="auto" w:sz="4" w:space="0"/>
              <w:bottom w:val="single" w:color="auto" w:sz="4" w:space="0"/>
              <w:right w:val="single" w:color="auto" w:sz="4" w:space="0"/>
            </w:tcBorders>
            <w:vAlign w:val="center"/>
          </w:tcPr>
          <w:p w14:paraId="334DC431">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02A4E34A">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抽查结果没有达到“定期检测电话主机各项功能，及时排除线路故障，确保通话顺畅，清晰” 要求，或无相关定期检查记录。</w:t>
            </w:r>
          </w:p>
        </w:tc>
      </w:tr>
      <w:tr w14:paraId="412D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2A7663A2">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783" w:type="dxa"/>
            <w:tcBorders>
              <w:top w:val="single" w:color="auto" w:sz="4" w:space="0"/>
              <w:left w:val="single" w:color="auto" w:sz="4" w:space="0"/>
              <w:bottom w:val="single" w:color="auto" w:sz="4" w:space="0"/>
              <w:right w:val="single" w:color="auto" w:sz="4" w:space="0"/>
            </w:tcBorders>
            <w:vAlign w:val="center"/>
          </w:tcPr>
          <w:p w14:paraId="0907B014">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7A60FAA0">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抽查结果没有达到“每3个月检测消防主机各项功能”要求，或无相关定期检查记录。</w:t>
            </w:r>
          </w:p>
        </w:tc>
      </w:tr>
      <w:tr w14:paraId="027A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716A4994">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783" w:type="dxa"/>
            <w:tcBorders>
              <w:top w:val="single" w:color="auto" w:sz="4" w:space="0"/>
              <w:left w:val="single" w:color="auto" w:sz="4" w:space="0"/>
              <w:bottom w:val="single" w:color="auto" w:sz="4" w:space="0"/>
              <w:right w:val="single" w:color="auto" w:sz="4" w:space="0"/>
            </w:tcBorders>
            <w:vAlign w:val="center"/>
          </w:tcPr>
          <w:p w14:paraId="5DA99659">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53A0035B">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抽查结果没有达到“定期对消防电源测试，备用电池进行1-2次放电充电试验，1-3次主电源和备用电源自动换转试验”要求，或无相关定期检查记录。</w:t>
            </w:r>
          </w:p>
        </w:tc>
      </w:tr>
      <w:tr w14:paraId="230A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0CF1A4EF">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783" w:type="dxa"/>
            <w:tcBorders>
              <w:top w:val="single" w:color="auto" w:sz="4" w:space="0"/>
              <w:left w:val="single" w:color="auto" w:sz="4" w:space="0"/>
              <w:bottom w:val="single" w:color="auto" w:sz="4" w:space="0"/>
              <w:right w:val="single" w:color="auto" w:sz="4" w:space="0"/>
            </w:tcBorders>
            <w:vAlign w:val="center"/>
          </w:tcPr>
          <w:p w14:paraId="5B1F4C2B">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7FF82A6A">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抽查结果没有达到“定期检测红外线探测器报警功能，每6个月检测一次”或无相关定期检查记录。</w:t>
            </w:r>
          </w:p>
        </w:tc>
      </w:tr>
      <w:tr w14:paraId="14ED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1E7A8014">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783" w:type="dxa"/>
            <w:tcBorders>
              <w:top w:val="single" w:color="auto" w:sz="4" w:space="0"/>
              <w:left w:val="single" w:color="auto" w:sz="4" w:space="0"/>
              <w:bottom w:val="single" w:color="auto" w:sz="4" w:space="0"/>
              <w:right w:val="single" w:color="auto" w:sz="4" w:space="0"/>
            </w:tcBorders>
            <w:vAlign w:val="center"/>
          </w:tcPr>
          <w:p w14:paraId="758DE59E">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520E9933">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抽查结果没有达到“每6个月清理一次红外线探测器，并使用专用调整及参数测试工具，对偏移的探测器进行校对，及时排除红外探测器及线路出现的故障” 要求，或无相关定期检查记录。</w:t>
            </w:r>
          </w:p>
        </w:tc>
      </w:tr>
      <w:tr w14:paraId="532C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55B5533B">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783" w:type="dxa"/>
            <w:tcBorders>
              <w:top w:val="single" w:color="auto" w:sz="4" w:space="0"/>
              <w:left w:val="single" w:color="auto" w:sz="4" w:space="0"/>
              <w:bottom w:val="single" w:color="auto" w:sz="4" w:space="0"/>
              <w:right w:val="single" w:color="auto" w:sz="4" w:space="0"/>
            </w:tcBorders>
            <w:vAlign w:val="center"/>
          </w:tcPr>
          <w:p w14:paraId="4FD3BE78">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6642" w:type="dxa"/>
            <w:tcBorders>
              <w:top w:val="single" w:color="auto" w:sz="4" w:space="0"/>
              <w:left w:val="single" w:color="auto" w:sz="4" w:space="0"/>
              <w:bottom w:val="single" w:color="auto" w:sz="4" w:space="0"/>
              <w:right w:val="single" w:color="auto" w:sz="4" w:space="0"/>
            </w:tcBorders>
            <w:vAlign w:val="center"/>
          </w:tcPr>
          <w:p w14:paraId="639E7EA9">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抽查结果没有达到“定期对各台图形控制系统进行功能检测、备份历史资料、及时排除软件系统故障” 要求，或无相关定期检查记录。</w:t>
            </w:r>
          </w:p>
        </w:tc>
      </w:tr>
      <w:tr w14:paraId="4053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7A188C79">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783" w:type="dxa"/>
            <w:tcBorders>
              <w:top w:val="single" w:color="auto" w:sz="4" w:space="0"/>
              <w:left w:val="single" w:color="auto" w:sz="4" w:space="0"/>
              <w:bottom w:val="single" w:color="auto" w:sz="4" w:space="0"/>
              <w:right w:val="single" w:color="auto" w:sz="4" w:space="0"/>
            </w:tcBorders>
            <w:vAlign w:val="center"/>
          </w:tcPr>
          <w:p w14:paraId="26DCB6DE">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4AFCA8F5">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抽查结果没有达到“定期抽检室内外消火栓的出口静水压，水泵接合器的工作状态，每半年完成一次循检” 要求，或无相关定期检查记录。</w:t>
            </w:r>
          </w:p>
        </w:tc>
      </w:tr>
      <w:tr w14:paraId="56DA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43C37CDE">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783" w:type="dxa"/>
            <w:tcBorders>
              <w:top w:val="single" w:color="auto" w:sz="4" w:space="0"/>
              <w:left w:val="single" w:color="auto" w:sz="4" w:space="0"/>
              <w:bottom w:val="single" w:color="auto" w:sz="4" w:space="0"/>
              <w:right w:val="single" w:color="auto" w:sz="4" w:space="0"/>
            </w:tcBorders>
            <w:vAlign w:val="center"/>
          </w:tcPr>
          <w:p w14:paraId="6C1144E1">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6AFCFC0B">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抽查结果没有达到“定期检查水系统主要阀门、管道是否漏水及支架稳固情况等。</w:t>
            </w:r>
          </w:p>
        </w:tc>
      </w:tr>
      <w:tr w14:paraId="259E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4E844C72">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783" w:type="dxa"/>
            <w:tcBorders>
              <w:top w:val="single" w:color="auto" w:sz="4" w:space="0"/>
              <w:left w:val="single" w:color="auto" w:sz="4" w:space="0"/>
              <w:bottom w:val="single" w:color="auto" w:sz="4" w:space="0"/>
              <w:right w:val="single" w:color="auto" w:sz="4" w:space="0"/>
            </w:tcBorders>
            <w:vAlign w:val="center"/>
          </w:tcPr>
          <w:p w14:paraId="60175736">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69B93EF8">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抽查结果没有达到“定期检查室内消防箱、手提式灭火器、移动式灭火器、防毒面具、水枪、水带、消防水喉是否有效、完好” 要求，或无相关定期检查记录。</w:t>
            </w:r>
          </w:p>
        </w:tc>
      </w:tr>
      <w:tr w14:paraId="604A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4CED7B96">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783" w:type="dxa"/>
            <w:tcBorders>
              <w:top w:val="single" w:color="auto" w:sz="4" w:space="0"/>
              <w:left w:val="single" w:color="auto" w:sz="4" w:space="0"/>
              <w:bottom w:val="single" w:color="auto" w:sz="4" w:space="0"/>
              <w:right w:val="single" w:color="auto" w:sz="4" w:space="0"/>
            </w:tcBorders>
            <w:vAlign w:val="center"/>
          </w:tcPr>
          <w:p w14:paraId="7E5693EA">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34CB0FAC">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抽查结果没有达到“定期检查喷淋头的完好情况，确保喷淋头清洁，无障碍物” 要求，或无相关定期检查记录。</w:t>
            </w:r>
          </w:p>
        </w:tc>
      </w:tr>
      <w:tr w14:paraId="41CB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2B9AD4E0">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783" w:type="dxa"/>
            <w:tcBorders>
              <w:top w:val="single" w:color="auto" w:sz="4" w:space="0"/>
              <w:left w:val="single" w:color="auto" w:sz="4" w:space="0"/>
              <w:bottom w:val="single" w:color="auto" w:sz="4" w:space="0"/>
              <w:right w:val="single" w:color="auto" w:sz="4" w:space="0"/>
            </w:tcBorders>
            <w:vAlign w:val="center"/>
          </w:tcPr>
          <w:p w14:paraId="53F1F72F">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3AF10527">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抽查结果没有达到“定期抽查末端放水、水流指示器、信号闸阀、湿式报警阀的动作功能”要求，或无相关定期检查记录。</w:t>
            </w:r>
          </w:p>
        </w:tc>
      </w:tr>
      <w:tr w14:paraId="7FCD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48D19237">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783" w:type="dxa"/>
            <w:tcBorders>
              <w:top w:val="single" w:color="auto" w:sz="4" w:space="0"/>
              <w:left w:val="single" w:color="auto" w:sz="4" w:space="0"/>
              <w:bottom w:val="single" w:color="auto" w:sz="4" w:space="0"/>
              <w:right w:val="single" w:color="auto" w:sz="4" w:space="0"/>
            </w:tcBorders>
            <w:vAlign w:val="center"/>
          </w:tcPr>
          <w:p w14:paraId="7E46FD08">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79CDC545">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抽查结果没有达到“定期调整水系统不正常状态、加注润滑剂、刷防锈漆、卫生清洁”要求，或无相关定期检查记录。</w:t>
            </w:r>
          </w:p>
        </w:tc>
      </w:tr>
      <w:tr w14:paraId="7343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1922C587">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783" w:type="dxa"/>
            <w:tcBorders>
              <w:top w:val="single" w:color="auto" w:sz="4" w:space="0"/>
              <w:left w:val="single" w:color="auto" w:sz="4" w:space="0"/>
              <w:bottom w:val="single" w:color="auto" w:sz="4" w:space="0"/>
              <w:right w:val="single" w:color="auto" w:sz="4" w:space="0"/>
            </w:tcBorders>
            <w:vAlign w:val="center"/>
          </w:tcPr>
          <w:p w14:paraId="002E4EFF">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6642" w:type="dxa"/>
            <w:tcBorders>
              <w:top w:val="single" w:color="auto" w:sz="4" w:space="0"/>
              <w:left w:val="single" w:color="auto" w:sz="4" w:space="0"/>
              <w:bottom w:val="single" w:color="auto" w:sz="4" w:space="0"/>
              <w:right w:val="single" w:color="auto" w:sz="4" w:space="0"/>
            </w:tcBorders>
            <w:vAlign w:val="center"/>
          </w:tcPr>
          <w:p w14:paraId="6BA48B8F">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抽查结果没有达到“定期对泵房内所有消防泵进行启/停测试，检查柴油泵油量，不足时及时补充” 要求，或无相关定期检查记录。</w:t>
            </w:r>
          </w:p>
        </w:tc>
      </w:tr>
      <w:tr w14:paraId="2FE5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3C925CF6">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783" w:type="dxa"/>
            <w:tcBorders>
              <w:top w:val="single" w:color="auto" w:sz="4" w:space="0"/>
              <w:left w:val="single" w:color="auto" w:sz="4" w:space="0"/>
              <w:bottom w:val="single" w:color="auto" w:sz="4" w:space="0"/>
              <w:right w:val="single" w:color="auto" w:sz="4" w:space="0"/>
            </w:tcBorders>
            <w:vAlign w:val="center"/>
          </w:tcPr>
          <w:p w14:paraId="3EC9430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6642" w:type="dxa"/>
            <w:tcBorders>
              <w:top w:val="single" w:color="auto" w:sz="4" w:space="0"/>
              <w:left w:val="single" w:color="auto" w:sz="4" w:space="0"/>
              <w:bottom w:val="single" w:color="auto" w:sz="4" w:space="0"/>
              <w:right w:val="single" w:color="auto" w:sz="4" w:space="0"/>
            </w:tcBorders>
            <w:vAlign w:val="center"/>
          </w:tcPr>
          <w:p w14:paraId="6D94E6B9">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抽查结果没有达到“定期测试两级探测器（烟、温感）、手/自动启动、紧急启动、声光报警器及警铃的各项功能”要求，或无相关定期检查记录”要求，或无相关定期检查记录。</w:t>
            </w:r>
          </w:p>
        </w:tc>
      </w:tr>
      <w:tr w14:paraId="3B41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43DE3227">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19</w:t>
            </w:r>
          </w:p>
        </w:tc>
        <w:tc>
          <w:tcPr>
            <w:tcW w:w="783" w:type="dxa"/>
            <w:tcBorders>
              <w:top w:val="single" w:color="auto" w:sz="4" w:space="0"/>
              <w:left w:val="single" w:color="auto" w:sz="4" w:space="0"/>
              <w:bottom w:val="single" w:color="auto" w:sz="4" w:space="0"/>
              <w:right w:val="single" w:color="auto" w:sz="4" w:space="0"/>
            </w:tcBorders>
            <w:vAlign w:val="center"/>
          </w:tcPr>
          <w:p w14:paraId="67C941CF">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5B3161C1">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抽查结果没有达到“定期抽测消防风机及控制柜，每年循环检测完所有风机”要求，或无相关定期检查记录。</w:t>
            </w:r>
          </w:p>
        </w:tc>
      </w:tr>
      <w:tr w14:paraId="2BB6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2F70DE03">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783" w:type="dxa"/>
            <w:tcBorders>
              <w:top w:val="single" w:color="auto" w:sz="4" w:space="0"/>
              <w:left w:val="single" w:color="auto" w:sz="4" w:space="0"/>
              <w:bottom w:val="single" w:color="auto" w:sz="4" w:space="0"/>
              <w:right w:val="single" w:color="auto" w:sz="4" w:space="0"/>
            </w:tcBorders>
            <w:vAlign w:val="center"/>
          </w:tcPr>
          <w:p w14:paraId="37587E43">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6642" w:type="dxa"/>
            <w:tcBorders>
              <w:top w:val="single" w:color="auto" w:sz="4" w:space="0"/>
              <w:left w:val="single" w:color="auto" w:sz="4" w:space="0"/>
              <w:bottom w:val="single" w:color="auto" w:sz="4" w:space="0"/>
              <w:right w:val="single" w:color="auto" w:sz="4" w:space="0"/>
            </w:tcBorders>
            <w:vAlign w:val="center"/>
          </w:tcPr>
          <w:p w14:paraId="4A4AF2CE">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抽查结果没有达到“定期抽查排烟阀并进行清洁、除锈、上油等工作，每半年完成一次循检”要求，或无相关定期检查记录。</w:t>
            </w:r>
          </w:p>
        </w:tc>
      </w:tr>
      <w:tr w14:paraId="6DD9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70394090">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21</w:t>
            </w:r>
          </w:p>
        </w:tc>
        <w:tc>
          <w:tcPr>
            <w:tcW w:w="783" w:type="dxa"/>
            <w:tcBorders>
              <w:top w:val="single" w:color="auto" w:sz="4" w:space="0"/>
              <w:left w:val="single" w:color="auto" w:sz="4" w:space="0"/>
              <w:bottom w:val="single" w:color="auto" w:sz="4" w:space="0"/>
              <w:right w:val="single" w:color="auto" w:sz="4" w:space="0"/>
            </w:tcBorders>
            <w:vAlign w:val="center"/>
          </w:tcPr>
          <w:p w14:paraId="5A4E672E">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4EF97AAF">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抽查结果没有达到“定期测试排烟窗软/硬控制及现场手动启闭功能”要求，或无相关定期检查记录。</w:t>
            </w:r>
          </w:p>
        </w:tc>
      </w:tr>
      <w:tr w14:paraId="4DDB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4CAABBB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22</w:t>
            </w:r>
          </w:p>
        </w:tc>
        <w:tc>
          <w:tcPr>
            <w:tcW w:w="783" w:type="dxa"/>
            <w:tcBorders>
              <w:top w:val="single" w:color="auto" w:sz="4" w:space="0"/>
              <w:left w:val="single" w:color="auto" w:sz="4" w:space="0"/>
              <w:bottom w:val="single" w:color="auto" w:sz="4" w:space="0"/>
              <w:right w:val="single" w:color="auto" w:sz="4" w:space="0"/>
            </w:tcBorders>
            <w:vAlign w:val="center"/>
          </w:tcPr>
          <w:p w14:paraId="739997DE">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6642" w:type="dxa"/>
            <w:tcBorders>
              <w:top w:val="single" w:color="auto" w:sz="4" w:space="0"/>
              <w:left w:val="single" w:color="auto" w:sz="4" w:space="0"/>
              <w:bottom w:val="single" w:color="auto" w:sz="4" w:space="0"/>
              <w:right w:val="single" w:color="auto" w:sz="4" w:space="0"/>
            </w:tcBorders>
            <w:vAlign w:val="center"/>
          </w:tcPr>
          <w:p w14:paraId="799219BF">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抽查结果没有达到“定期测试消防广播系统的广播、自动播音、扩音机及喇叭的功能，排除系统出现的故障问题”要求，或无相关定期检查记录。</w:t>
            </w:r>
          </w:p>
        </w:tc>
      </w:tr>
      <w:tr w14:paraId="2A56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01855315">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23</w:t>
            </w:r>
          </w:p>
        </w:tc>
        <w:tc>
          <w:tcPr>
            <w:tcW w:w="783" w:type="dxa"/>
            <w:tcBorders>
              <w:top w:val="single" w:color="auto" w:sz="4" w:space="0"/>
              <w:left w:val="single" w:color="auto" w:sz="4" w:space="0"/>
              <w:bottom w:val="single" w:color="auto" w:sz="4" w:space="0"/>
              <w:right w:val="single" w:color="auto" w:sz="4" w:space="0"/>
            </w:tcBorders>
            <w:vAlign w:val="center"/>
          </w:tcPr>
          <w:p w14:paraId="23AB964A">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6642" w:type="dxa"/>
            <w:tcBorders>
              <w:top w:val="single" w:color="auto" w:sz="4" w:space="0"/>
              <w:left w:val="single" w:color="auto" w:sz="4" w:space="0"/>
              <w:bottom w:val="single" w:color="auto" w:sz="4" w:space="0"/>
              <w:right w:val="single" w:color="auto" w:sz="4" w:space="0"/>
            </w:tcBorders>
            <w:vAlign w:val="center"/>
          </w:tcPr>
          <w:p w14:paraId="6E223B13">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抽查结果没有达到“定期完成物业应急疏散指示标志和指示灯的检查维保，及时排除出现的问题，确保应急疏散指示系统完好性”要求，或无相关定期检查记录。</w:t>
            </w:r>
          </w:p>
        </w:tc>
      </w:tr>
      <w:tr w14:paraId="6615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0AB3F3B5">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24</w:t>
            </w:r>
          </w:p>
        </w:tc>
        <w:tc>
          <w:tcPr>
            <w:tcW w:w="783" w:type="dxa"/>
            <w:tcBorders>
              <w:top w:val="single" w:color="auto" w:sz="4" w:space="0"/>
              <w:left w:val="single" w:color="auto" w:sz="4" w:space="0"/>
              <w:bottom w:val="single" w:color="auto" w:sz="4" w:space="0"/>
              <w:right w:val="single" w:color="auto" w:sz="4" w:space="0"/>
            </w:tcBorders>
            <w:vAlign w:val="center"/>
          </w:tcPr>
          <w:p w14:paraId="1E0BE643">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6642" w:type="dxa"/>
            <w:tcBorders>
              <w:top w:val="single" w:color="auto" w:sz="4" w:space="0"/>
              <w:left w:val="single" w:color="auto" w:sz="4" w:space="0"/>
              <w:bottom w:val="single" w:color="auto" w:sz="4" w:space="0"/>
              <w:right w:val="single" w:color="auto" w:sz="4" w:space="0"/>
            </w:tcBorders>
            <w:vAlign w:val="center"/>
          </w:tcPr>
          <w:p w14:paraId="18491811">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乙方没有做到每月3日前，将上月的维保情况、故障维修情况及系统运行评估情况形成文字材料上报监管部门。</w:t>
            </w:r>
          </w:p>
        </w:tc>
      </w:tr>
      <w:tr w14:paraId="31A4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7C23770F">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25</w:t>
            </w:r>
          </w:p>
        </w:tc>
        <w:tc>
          <w:tcPr>
            <w:tcW w:w="783" w:type="dxa"/>
            <w:tcBorders>
              <w:top w:val="single" w:color="auto" w:sz="4" w:space="0"/>
              <w:left w:val="single" w:color="auto" w:sz="4" w:space="0"/>
              <w:bottom w:val="single" w:color="auto" w:sz="4" w:space="0"/>
              <w:right w:val="single" w:color="auto" w:sz="4" w:space="0"/>
            </w:tcBorders>
            <w:vAlign w:val="center"/>
          </w:tcPr>
          <w:p w14:paraId="46AFC4EC">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6642" w:type="dxa"/>
            <w:tcBorders>
              <w:top w:val="single" w:color="auto" w:sz="4" w:space="0"/>
              <w:left w:val="single" w:color="auto" w:sz="4" w:space="0"/>
              <w:bottom w:val="single" w:color="auto" w:sz="4" w:space="0"/>
              <w:right w:val="single" w:color="auto" w:sz="4" w:space="0"/>
            </w:tcBorders>
            <w:vAlign w:val="center"/>
          </w:tcPr>
          <w:p w14:paraId="23D1ECDE">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乙方提供的维保服务质量不符合国家相关规范及本合同约定标准，经甲方监管部门通知，乙方收到通知后的三日内该问题仍未整改。</w:t>
            </w:r>
          </w:p>
        </w:tc>
      </w:tr>
      <w:tr w14:paraId="0040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2FAB4667">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26</w:t>
            </w:r>
          </w:p>
        </w:tc>
        <w:tc>
          <w:tcPr>
            <w:tcW w:w="783" w:type="dxa"/>
            <w:tcBorders>
              <w:top w:val="single" w:color="auto" w:sz="4" w:space="0"/>
              <w:left w:val="single" w:color="auto" w:sz="4" w:space="0"/>
              <w:bottom w:val="single" w:color="auto" w:sz="4" w:space="0"/>
              <w:right w:val="single" w:color="auto" w:sz="4" w:space="0"/>
            </w:tcBorders>
            <w:vAlign w:val="center"/>
          </w:tcPr>
          <w:p w14:paraId="6DC9DE42">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6642" w:type="dxa"/>
            <w:tcBorders>
              <w:top w:val="single" w:color="auto" w:sz="4" w:space="0"/>
              <w:left w:val="single" w:color="auto" w:sz="4" w:space="0"/>
              <w:bottom w:val="single" w:color="auto" w:sz="4" w:space="0"/>
              <w:right w:val="single" w:color="auto" w:sz="4" w:space="0"/>
            </w:tcBorders>
            <w:vAlign w:val="center"/>
          </w:tcPr>
          <w:p w14:paraId="42A66CEA">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因乙方原因造成消防检查不合格的。</w:t>
            </w:r>
          </w:p>
        </w:tc>
      </w:tr>
      <w:tr w14:paraId="29FA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547CB97A">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27</w:t>
            </w:r>
          </w:p>
        </w:tc>
        <w:tc>
          <w:tcPr>
            <w:tcW w:w="783" w:type="dxa"/>
            <w:tcBorders>
              <w:top w:val="single" w:color="auto" w:sz="4" w:space="0"/>
              <w:left w:val="single" w:color="auto" w:sz="4" w:space="0"/>
              <w:bottom w:val="single" w:color="auto" w:sz="4" w:space="0"/>
              <w:right w:val="single" w:color="auto" w:sz="4" w:space="0"/>
            </w:tcBorders>
            <w:vAlign w:val="center"/>
          </w:tcPr>
          <w:p w14:paraId="399B348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0EE8B4F2">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乙方人员没有统一着装上岗的。</w:t>
            </w:r>
          </w:p>
        </w:tc>
      </w:tr>
      <w:tr w14:paraId="59B4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50A6C1E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28</w:t>
            </w:r>
          </w:p>
        </w:tc>
        <w:tc>
          <w:tcPr>
            <w:tcW w:w="783" w:type="dxa"/>
            <w:tcBorders>
              <w:top w:val="single" w:color="auto" w:sz="4" w:space="0"/>
              <w:left w:val="single" w:color="auto" w:sz="4" w:space="0"/>
              <w:bottom w:val="single" w:color="auto" w:sz="4" w:space="0"/>
              <w:right w:val="single" w:color="auto" w:sz="4" w:space="0"/>
            </w:tcBorders>
            <w:vAlign w:val="center"/>
          </w:tcPr>
          <w:p w14:paraId="05A7BC7C">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05E5E8F3">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乙方人员没按时到岗、缺席或未准时参加甲方要求参加的会议。</w:t>
            </w:r>
          </w:p>
        </w:tc>
      </w:tr>
      <w:tr w14:paraId="09A8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00AA6627">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29</w:t>
            </w:r>
          </w:p>
        </w:tc>
        <w:tc>
          <w:tcPr>
            <w:tcW w:w="783" w:type="dxa"/>
            <w:tcBorders>
              <w:top w:val="single" w:color="auto" w:sz="4" w:space="0"/>
              <w:left w:val="single" w:color="auto" w:sz="4" w:space="0"/>
              <w:bottom w:val="single" w:color="auto" w:sz="4" w:space="0"/>
              <w:right w:val="single" w:color="auto" w:sz="4" w:space="0"/>
            </w:tcBorders>
            <w:vAlign w:val="center"/>
          </w:tcPr>
          <w:p w14:paraId="510AF532">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6642" w:type="dxa"/>
            <w:tcBorders>
              <w:top w:val="single" w:color="auto" w:sz="4" w:space="0"/>
              <w:left w:val="single" w:color="auto" w:sz="4" w:space="0"/>
              <w:bottom w:val="single" w:color="auto" w:sz="4" w:space="0"/>
              <w:right w:val="single" w:color="auto" w:sz="4" w:space="0"/>
            </w:tcBorders>
            <w:vAlign w:val="center"/>
          </w:tcPr>
          <w:p w14:paraId="592C717E">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乙方人员没有做到在规定的响应时间里到达事故或报警现场的。</w:t>
            </w:r>
          </w:p>
        </w:tc>
      </w:tr>
      <w:tr w14:paraId="621C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72738410">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30</w:t>
            </w:r>
          </w:p>
        </w:tc>
        <w:tc>
          <w:tcPr>
            <w:tcW w:w="783" w:type="dxa"/>
            <w:tcBorders>
              <w:top w:val="single" w:color="auto" w:sz="4" w:space="0"/>
              <w:left w:val="single" w:color="auto" w:sz="4" w:space="0"/>
              <w:bottom w:val="single" w:color="auto" w:sz="4" w:space="0"/>
              <w:right w:val="single" w:color="auto" w:sz="4" w:space="0"/>
            </w:tcBorders>
            <w:vAlign w:val="center"/>
          </w:tcPr>
          <w:p w14:paraId="0330DC6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6642" w:type="dxa"/>
            <w:tcBorders>
              <w:top w:val="single" w:color="auto" w:sz="4" w:space="0"/>
              <w:left w:val="single" w:color="auto" w:sz="4" w:space="0"/>
              <w:bottom w:val="single" w:color="auto" w:sz="4" w:space="0"/>
              <w:right w:val="single" w:color="auto" w:sz="4" w:space="0"/>
            </w:tcBorders>
            <w:vAlign w:val="center"/>
          </w:tcPr>
          <w:p w14:paraId="086A8204">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乙方人员上班睡觉或喝酒，未造成严重后果。</w:t>
            </w:r>
          </w:p>
        </w:tc>
      </w:tr>
      <w:tr w14:paraId="7E0E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2993192A">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31</w:t>
            </w:r>
          </w:p>
        </w:tc>
        <w:tc>
          <w:tcPr>
            <w:tcW w:w="783" w:type="dxa"/>
            <w:tcBorders>
              <w:top w:val="single" w:color="auto" w:sz="4" w:space="0"/>
              <w:left w:val="single" w:color="auto" w:sz="4" w:space="0"/>
              <w:bottom w:val="single" w:color="auto" w:sz="4" w:space="0"/>
              <w:right w:val="single" w:color="auto" w:sz="4" w:space="0"/>
            </w:tcBorders>
            <w:vAlign w:val="center"/>
          </w:tcPr>
          <w:p w14:paraId="05B5B02E">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6642" w:type="dxa"/>
            <w:tcBorders>
              <w:top w:val="single" w:color="auto" w:sz="4" w:space="0"/>
              <w:left w:val="single" w:color="auto" w:sz="4" w:space="0"/>
              <w:bottom w:val="single" w:color="auto" w:sz="4" w:space="0"/>
              <w:right w:val="single" w:color="auto" w:sz="4" w:space="0"/>
            </w:tcBorders>
            <w:vAlign w:val="center"/>
          </w:tcPr>
          <w:p w14:paraId="1B6444C2">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乙方人员违反消防系统操作规程或挪用系统设备，未造成严重后果的。</w:t>
            </w:r>
          </w:p>
        </w:tc>
      </w:tr>
      <w:tr w14:paraId="5CA1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7A2A25BF">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32</w:t>
            </w:r>
          </w:p>
        </w:tc>
        <w:tc>
          <w:tcPr>
            <w:tcW w:w="783" w:type="dxa"/>
            <w:tcBorders>
              <w:top w:val="single" w:color="auto" w:sz="4" w:space="0"/>
              <w:left w:val="single" w:color="auto" w:sz="4" w:space="0"/>
              <w:bottom w:val="single" w:color="auto" w:sz="4" w:space="0"/>
              <w:right w:val="single" w:color="auto" w:sz="4" w:space="0"/>
            </w:tcBorders>
            <w:vAlign w:val="center"/>
          </w:tcPr>
          <w:p w14:paraId="244CC851">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6642" w:type="dxa"/>
            <w:tcBorders>
              <w:top w:val="single" w:color="auto" w:sz="4" w:space="0"/>
              <w:left w:val="single" w:color="auto" w:sz="4" w:space="0"/>
              <w:bottom w:val="single" w:color="auto" w:sz="4" w:space="0"/>
              <w:right w:val="single" w:color="auto" w:sz="4" w:space="0"/>
            </w:tcBorders>
            <w:vAlign w:val="center"/>
          </w:tcPr>
          <w:p w14:paraId="46DE32FF">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乙方进行维保施工时未遵守甲方的有关规章制度，服从甲方工作人安排。</w:t>
            </w:r>
          </w:p>
        </w:tc>
      </w:tr>
      <w:tr w14:paraId="5953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604920B6">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33</w:t>
            </w:r>
          </w:p>
        </w:tc>
        <w:tc>
          <w:tcPr>
            <w:tcW w:w="783" w:type="dxa"/>
            <w:tcBorders>
              <w:top w:val="single" w:color="auto" w:sz="4" w:space="0"/>
              <w:left w:val="single" w:color="auto" w:sz="4" w:space="0"/>
              <w:bottom w:val="single" w:color="auto" w:sz="4" w:space="0"/>
              <w:right w:val="single" w:color="auto" w:sz="4" w:space="0"/>
            </w:tcBorders>
            <w:vAlign w:val="center"/>
          </w:tcPr>
          <w:p w14:paraId="50966264">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51D9CE9E">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乙方需提供专业从业人员资质证书，乙方工作人员无证上岗或虚假资质者，按每天每人次扣减。</w:t>
            </w:r>
          </w:p>
        </w:tc>
      </w:tr>
      <w:tr w14:paraId="19EF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20622C77">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34</w:t>
            </w:r>
          </w:p>
        </w:tc>
        <w:tc>
          <w:tcPr>
            <w:tcW w:w="783" w:type="dxa"/>
            <w:tcBorders>
              <w:top w:val="single" w:color="auto" w:sz="4" w:space="0"/>
              <w:left w:val="single" w:color="auto" w:sz="4" w:space="0"/>
              <w:bottom w:val="single" w:color="auto" w:sz="4" w:space="0"/>
              <w:right w:val="single" w:color="auto" w:sz="4" w:space="0"/>
            </w:tcBorders>
            <w:vAlign w:val="center"/>
          </w:tcPr>
          <w:p w14:paraId="538C3D1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6642" w:type="dxa"/>
            <w:tcBorders>
              <w:top w:val="single" w:color="auto" w:sz="4" w:space="0"/>
              <w:left w:val="single" w:color="auto" w:sz="4" w:space="0"/>
              <w:bottom w:val="single" w:color="auto" w:sz="4" w:space="0"/>
              <w:right w:val="single" w:color="auto" w:sz="4" w:space="0"/>
            </w:tcBorders>
            <w:vAlign w:val="center"/>
          </w:tcPr>
          <w:p w14:paraId="7C7F9181">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乙方不按要求报送甲方要求的各类维修计划、施工组织设计、记录报表等或抢修设施设备因资源投入或管理不善等原因未及时完成、延误工期的。</w:t>
            </w:r>
          </w:p>
        </w:tc>
      </w:tr>
      <w:tr w14:paraId="3C32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5362DBA1">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35</w:t>
            </w:r>
          </w:p>
        </w:tc>
        <w:tc>
          <w:tcPr>
            <w:tcW w:w="783" w:type="dxa"/>
            <w:tcBorders>
              <w:top w:val="single" w:color="auto" w:sz="4" w:space="0"/>
              <w:left w:val="single" w:color="auto" w:sz="4" w:space="0"/>
              <w:bottom w:val="single" w:color="auto" w:sz="4" w:space="0"/>
              <w:right w:val="single" w:color="auto" w:sz="4" w:space="0"/>
            </w:tcBorders>
            <w:vAlign w:val="center"/>
          </w:tcPr>
          <w:p w14:paraId="678D8D4C">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6642" w:type="dxa"/>
            <w:tcBorders>
              <w:top w:val="single" w:color="auto" w:sz="4" w:space="0"/>
              <w:left w:val="single" w:color="auto" w:sz="4" w:space="0"/>
              <w:bottom w:val="single" w:color="auto" w:sz="4" w:space="0"/>
              <w:right w:val="single" w:color="auto" w:sz="4" w:space="0"/>
            </w:tcBorders>
            <w:vAlign w:val="center"/>
          </w:tcPr>
          <w:p w14:paraId="7E971886">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乙方有关负责人不如实汇报工作情况，或隐瞒事实真相。</w:t>
            </w:r>
          </w:p>
        </w:tc>
      </w:tr>
      <w:tr w14:paraId="5061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14:paraId="2B4C05CC">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36</w:t>
            </w:r>
          </w:p>
        </w:tc>
        <w:tc>
          <w:tcPr>
            <w:tcW w:w="783" w:type="dxa"/>
            <w:tcBorders>
              <w:top w:val="single" w:color="auto" w:sz="4" w:space="0"/>
              <w:left w:val="single" w:color="auto" w:sz="4" w:space="0"/>
              <w:bottom w:val="single" w:color="auto" w:sz="4" w:space="0"/>
              <w:right w:val="single" w:color="auto" w:sz="4" w:space="0"/>
            </w:tcBorders>
            <w:vAlign w:val="center"/>
          </w:tcPr>
          <w:p w14:paraId="7195666D">
            <w:pPr>
              <w:wordWrap w:val="0"/>
              <w:topLinePunct/>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642" w:type="dxa"/>
            <w:tcBorders>
              <w:top w:val="single" w:color="auto" w:sz="4" w:space="0"/>
              <w:left w:val="single" w:color="auto" w:sz="4" w:space="0"/>
              <w:bottom w:val="single" w:color="auto" w:sz="4" w:space="0"/>
              <w:right w:val="single" w:color="auto" w:sz="4" w:space="0"/>
            </w:tcBorders>
            <w:vAlign w:val="center"/>
          </w:tcPr>
          <w:p w14:paraId="22DB65CD">
            <w:pPr>
              <w:wordWrap w:val="0"/>
              <w:topLinePunct/>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乙方因自备工器具准备不足导致检修延误。</w:t>
            </w:r>
          </w:p>
        </w:tc>
      </w:tr>
    </w:tbl>
    <w:p w14:paraId="0A2CA076">
      <w:pPr>
        <w:wordWrap w:val="0"/>
        <w:topLinePunct/>
        <w:adjustRightInd w:val="0"/>
        <w:snapToGrid w:val="0"/>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第六条 双方权利和义务</w:t>
      </w:r>
    </w:p>
    <w:p w14:paraId="3BBAAC89">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（一）甲方的权利和义务</w:t>
      </w:r>
    </w:p>
    <w:p w14:paraId="4C4CB5EE">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1.在乙方手续齐备且不违反相关规定的情况下，确保乙方能顺利进入维保部位。</w:t>
      </w:r>
    </w:p>
    <w:p w14:paraId="72B4D3A0">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2.在维护维保过程中，应尽可能提供相关技术资料。    </w:t>
      </w:r>
    </w:p>
    <w:p w14:paraId="7734292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3.负责损坏的备品备件确认工作。</w:t>
      </w:r>
    </w:p>
    <w:p w14:paraId="2568093E">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4.甲方有权要求乙方按照本合同约定提供维护服务。</w:t>
      </w:r>
    </w:p>
    <w:p w14:paraId="7524BDE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5.甲方有权对乙方的服务进行监督和考核，提出意见建议。</w:t>
      </w:r>
    </w:p>
    <w:p w14:paraId="271320E6">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6.在乙方无违约的情况下，按时足额支付合同款。</w:t>
      </w:r>
    </w:p>
    <w:p w14:paraId="2AD79749">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7.甲方有权根据乙方维护质量以及乙方工作人员态度、能力、服务水平等因素合理要求乙方更换工作人员。</w:t>
      </w:r>
    </w:p>
    <w:p w14:paraId="79E72893">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8.甲方委派 </w:t>
      </w:r>
      <w:r>
        <w:rPr>
          <w:rFonts w:hint="eastAsia" w:ascii="仿宋_GB2312" w:hAnsi="仿宋_GB2312" w:eastAsia="仿宋_GB2312" w:cs="仿宋_GB2312"/>
          <w:sz w:val="28"/>
          <w:szCs w:val="28"/>
          <w:u w:val="single"/>
        </w:rPr>
        <w:t>杜智峰</w:t>
      </w:r>
      <w:r>
        <w:rPr>
          <w:rFonts w:hint="eastAsia" w:ascii="仿宋_GB2312" w:hAnsi="仿宋_GB2312" w:eastAsia="仿宋_GB2312" w:cs="仿宋_GB2312"/>
          <w:sz w:val="28"/>
          <w:szCs w:val="28"/>
        </w:rPr>
        <w:t>（联系电话：</w:t>
      </w:r>
      <w:r>
        <w:rPr>
          <w:rFonts w:hint="eastAsia" w:ascii="仿宋_GB2312" w:hAnsi="仿宋_GB2312" w:eastAsia="仿宋_GB2312" w:cs="仿宋_GB2312"/>
          <w:sz w:val="28"/>
          <w:szCs w:val="28"/>
          <w:u w:val="single"/>
        </w:rPr>
        <w:t>18613019895</w:t>
      </w:r>
      <w:r>
        <w:rPr>
          <w:rFonts w:hint="eastAsia" w:ascii="仿宋_GB2312" w:hAnsi="仿宋_GB2312" w:eastAsia="仿宋_GB2312" w:cs="仿宋_GB2312"/>
          <w:sz w:val="28"/>
          <w:szCs w:val="28"/>
        </w:rPr>
        <w:t>）为项目代表，负责与乙方及乙方工作人员沟通、协调，监督检查乙方合同履行情况及其他事宜，并有权代表甲方签署本合同履行过程中涉及的各项书面文件（除另有授权外，不包括本合同及本合同的补充协议）。甲方更换项目代表的，应当及时向乙方出具书面文件。</w:t>
      </w:r>
    </w:p>
    <w:p w14:paraId="1676C38C">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（二）乙方的权利和义务</w:t>
      </w:r>
    </w:p>
    <w:p w14:paraId="2F1ABE2C">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1.乙方保证，为甲方提供服务的工作人员均有能力完成维护服务</w:t>
      </w:r>
    </w:p>
    <w:p w14:paraId="66A10CE2">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并持有相应的资质证件。按照甲方要求免费对有关管理人员和使用人员进行定期的培训指导，使有关管理人员和使用人员能了解、掌握消防系统维保技能。</w:t>
      </w:r>
    </w:p>
    <w:p w14:paraId="3E33475D">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2.乙方应按本合同的约定向甲方提供维护服务。乙方应认真按照国家技术标准、消防技术规范和合同约定方式进行维护维保服务工作，确保在合同期间消防系统正常运转，消防设施处于可用状态。</w:t>
      </w:r>
    </w:p>
    <w:p w14:paraId="2D63F7D9">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乙方保证在工作期间，遵守甲方有关的管理规章制度和纪律，服从甲方工作人员安排，保持工作场地的清洁，并做好安全保障工作。合同期间因乙方或乙方工作人员的原因造成任何乙方的财产、人身损害，保险、损害赔偿等均由乙方自理，甲方对此不承担任何责任。</w:t>
      </w:r>
    </w:p>
    <w:p w14:paraId="7050AC15">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4.因维护维保不当造成的设备设施损坏系统不能正常运转的，应由乙方自行恢复或更换并承担费用，并承担因此给甲方造成的全部损失；造成甲方或者第三方人身、财产损失的，应当承担赔偿责任。</w:t>
      </w:r>
    </w:p>
    <w:p w14:paraId="5F110014">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5.保证合同范围内的系统设备设施能通过消防年审和检查。若由于维护维保不到位导致未能通过年审或被检查出重大问题的，乙方应按照本合同第八条约定承担违约责任。</w:t>
      </w:r>
    </w:p>
    <w:p w14:paraId="030A99BD">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当发生火灾或出现火灾险情时，物业的消防系统设施或设备不能有效工作，经消防或安全生产管理部门界定排除人为破坏或甲方操作失误的，乙方要承担相应的法律责任，并按照本合同第八条之约定承担违约责任。</w:t>
      </w:r>
    </w:p>
    <w:p w14:paraId="571496A8">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7.合同期间，发现合同约定维保范围内的消防系统设备设施不符合消防规定的，应及时书面报告甲方；因没有及时报告，导致甲方受到处罚的，乙方按照本合同第八条之约定承担违约责任。</w:t>
      </w:r>
    </w:p>
    <w:p w14:paraId="7A5E0D76">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8.乙方应主动配合甲方的后期扩建项目，配合提供接口和整体系统调试等。</w:t>
      </w:r>
    </w:p>
    <w:p w14:paraId="30F96948">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9.乙方应确保工作人员的稳定，不得随意变动人员，且工作人员应具有相应技术岗位资格证书，并向甲方提供相关证书、社保证明材料备案。</w:t>
      </w:r>
    </w:p>
    <w:p w14:paraId="71B38C77">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10.乙方在维保过程中，需要与第三方合作解决时，必须经甲方同意并办理相应手续；甲方不再另行支付乙方与第三方的合作费用，且在合作期间造成甲方设施设备损毁或其他损失的，甲方有权要求乙方承担全部责任。</w:t>
      </w:r>
    </w:p>
    <w:p w14:paraId="68EA79A0">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11.乙方应定期对消防设施设备进行表面清洁，并出具月、季、年度相应维保工作记录及报告报送甲方，经甲、乙双方授权人签字后备案存档。</w:t>
      </w:r>
    </w:p>
    <w:p w14:paraId="089B6658">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12.乙方维保过程中，单次维保消耗价格小于等于50元的耗材（如螺丝、螺帽、润滑剂、生料带等易损易耗品）由乙方自行购买并承担相应费用。对于单次维保消耗价格超出50元的耗材，应由乙方书面报告甲方并提出初步的解决方案（更换零部件应先考虑选用原厂配件；如无原厂配件的，应选用质量不低于原厂标准且能兼容的配件），经甲方审核同意后由乙方予以更换，费用由甲方承担。</w:t>
      </w:r>
    </w:p>
    <w:p w14:paraId="074C1CF9">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13.在维保工作中，所需的检查和维修工具，以及高空作业设备由乙方自行解决，甲方不负责提供。 </w:t>
      </w:r>
    </w:p>
    <w:p w14:paraId="4556109C">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14.在维护过程中，乙方有权要求甲方提供合理、必要的协助，有权要求甲方提供必要的资料。</w:t>
      </w:r>
      <w:r>
        <w:rPr>
          <w:rFonts w:hint="eastAsia" w:ascii="仿宋_GB2312" w:hAnsi="仿宋_GB2312" w:eastAsia="仿宋_GB2312" w:cs="仿宋_GB2312"/>
          <w:sz w:val="28"/>
          <w:szCs w:val="28"/>
          <w:lang w:val="nl"/>
        </w:rPr>
        <w:t>甲方为协助乙方完成本合同项下维护所提供的有关资料仅限乙方为本合同目的使用，未经甲方书面许可，乙方不得在本合同目的以外的场合或基于任何其他的目的利用上述资料。</w:t>
      </w:r>
      <w:r>
        <w:rPr>
          <w:rFonts w:hint="eastAsia" w:ascii="仿宋_GB2312" w:hAnsi="仿宋_GB2312" w:eastAsia="仿宋_GB2312" w:cs="仿宋_GB2312"/>
          <w:sz w:val="28"/>
          <w:szCs w:val="28"/>
        </w:rPr>
        <w:t>乙方因维保服务上的需要所持有或保管的一切记录有甲方信息的文件、资料、图表、笔记、报告、信件、传真、图像以及其他任何形式的信息、载体均归甲方所有，无论这些信息有无价值。未经甲方书面同意，不得将这些信息、载体及其复制件擅自保留、传播或交给其他任何单位或个人。</w:t>
      </w:r>
      <w:r>
        <w:rPr>
          <w:rFonts w:hint="eastAsia" w:ascii="仿宋_GB2312" w:hAnsi="仿宋_GB2312" w:eastAsia="仿宋_GB2312" w:cs="仿宋_GB2312"/>
          <w:sz w:val="28"/>
          <w:szCs w:val="28"/>
          <w:lang w:val="nl"/>
        </w:rPr>
        <w:t>乙方对上述资料或信息的保密义务不因本合同的解除或终止而终止，直至有关资料或信息被甲方公开时止。</w:t>
      </w:r>
      <w:bookmarkStart w:id="1" w:name="OLE_LINK1"/>
      <w:r>
        <w:rPr>
          <w:rFonts w:hint="eastAsia" w:ascii="仿宋_GB2312" w:hAnsi="仿宋_GB2312" w:eastAsia="仿宋_GB2312" w:cs="仿宋_GB2312"/>
          <w:sz w:val="28"/>
          <w:szCs w:val="28"/>
        </w:rPr>
        <w:t>乙方违反保密义务的，应按照甲方要求尽快采取补救措施（如向相关第三方发出通知，要求其停止使用或传播保密信息等），赔偿甲方因此遭受的损失并按本合同价款的10%向甲方支付违约金。</w:t>
      </w:r>
    </w:p>
    <w:bookmarkEnd w:id="1"/>
    <w:p w14:paraId="7EED143B">
      <w:pPr>
        <w:wordWrap w:val="0"/>
        <w:topLinePunct/>
        <w:adjustRightInd w:val="0"/>
        <w:snapToGrid w:val="0"/>
        <w:ind w:firstLine="548" w:firstLineChars="196"/>
        <w:rPr>
          <w:rFonts w:ascii="仿宋_GB2312" w:hAnsi="仿宋_GB2312" w:eastAsia="仿宋_GB2312" w:cs="仿宋_GB2312"/>
          <w:sz w:val="28"/>
          <w:szCs w:val="28"/>
          <w:lang w:val="nl-NL"/>
        </w:rPr>
      </w:pPr>
      <w:r>
        <w:rPr>
          <w:rFonts w:hint="eastAsia" w:ascii="仿宋_GB2312" w:hAnsi="仿宋_GB2312" w:eastAsia="仿宋_GB2312" w:cs="仿宋_GB2312"/>
          <w:sz w:val="28"/>
          <w:szCs w:val="28"/>
          <w:lang w:val="nl"/>
        </w:rPr>
        <w:t>1</w:t>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lang w:val="nl"/>
        </w:rPr>
        <w:t>.乙方在无违约的情况下有权要求甲方按本合同约定及时、足额支付合同款。</w:t>
      </w:r>
    </w:p>
    <w:p w14:paraId="3FDDBE25">
      <w:pPr>
        <w:wordWrap w:val="0"/>
        <w:topLinePunct/>
        <w:adjustRightInd w:val="0"/>
        <w:snapToGrid w:val="0"/>
        <w:ind w:firstLine="548" w:firstLineChars="196"/>
        <w:rPr>
          <w:rFonts w:ascii="仿宋_GB2312" w:hAnsi="仿宋_GB2312" w:eastAsia="仿宋_GB2312" w:cs="仿宋_GB2312"/>
          <w:sz w:val="28"/>
          <w:szCs w:val="28"/>
          <w:lang w:val="nl-NL"/>
        </w:rPr>
      </w:pPr>
      <w:r>
        <w:rPr>
          <w:rFonts w:hint="eastAsia" w:ascii="仿宋_GB2312" w:hAnsi="仿宋_GB2312" w:eastAsia="仿宋_GB2312" w:cs="仿宋_GB2312"/>
          <w:sz w:val="28"/>
          <w:szCs w:val="28"/>
          <w:lang w:val="nl"/>
        </w:rPr>
        <w:t>1</w:t>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lang w:val="nl"/>
        </w:rPr>
        <w:t>.乙方提供的维保服务涉及相关知识产权的，乙方须保证甲方享有合法使用权，免受相关侵权指控、索赔。</w:t>
      </w:r>
      <w:r>
        <w:rPr>
          <w:rFonts w:hint="eastAsia" w:ascii="仿宋_GB2312" w:hAnsi="仿宋_GB2312" w:eastAsia="仿宋_GB2312" w:cs="仿宋_GB2312"/>
          <w:sz w:val="28"/>
          <w:szCs w:val="28"/>
        </w:rPr>
        <w:t>乙方违反知识产权保护条款的，应按照甲方要求尽快采取补救措施（如将涉嫌侵权产品替换为等值的具有完整权利或有合法来源的其他产品等），赔偿甲方因此遭受的损失并按本合同价款的10%向甲方支付违约金。</w:t>
      </w:r>
    </w:p>
    <w:p w14:paraId="280B4513">
      <w:pPr>
        <w:wordWrap w:val="0"/>
        <w:topLinePunct/>
        <w:adjustRightInd w:val="0"/>
        <w:snapToGrid w:val="0"/>
        <w:ind w:firstLine="548" w:firstLineChars="196"/>
        <w:rPr>
          <w:rFonts w:ascii="仿宋_GB2312" w:hAnsi="仿宋_GB2312" w:eastAsia="仿宋_GB2312" w:cs="仿宋_GB2312"/>
          <w:sz w:val="28"/>
          <w:szCs w:val="28"/>
          <w:lang w:val="nl-NL"/>
        </w:rPr>
      </w:pPr>
      <w:r>
        <w:rPr>
          <w:rFonts w:hint="eastAsia" w:ascii="仿宋_GB2312" w:hAnsi="仿宋_GB2312" w:eastAsia="仿宋_GB2312" w:cs="仿宋_GB2312"/>
          <w:sz w:val="28"/>
          <w:szCs w:val="28"/>
          <w:lang w:val="nl"/>
        </w:rPr>
        <w:t>18.乙方委派</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lang w:val="nl"/>
        </w:rPr>
        <w:t>（身份证号码：</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lang w:val="nl"/>
        </w:rPr>
        <w:t>，联系电话：</w:t>
      </w:r>
      <w:r>
        <w:rPr>
          <w:rFonts w:hint="eastAsia" w:ascii="仿宋_GB2312" w:hAnsi="仿宋_GB2312" w:eastAsia="仿宋_GB2312" w:cs="仿宋_GB2312"/>
          <w:sz w:val="28"/>
          <w:szCs w:val="28"/>
          <w:u w:val="single"/>
          <w:lang w:val="nl"/>
        </w:rPr>
        <w:t xml:space="preserve"> </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lang w:val="nl"/>
        </w:rPr>
        <w:t>，邮箱：</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lang w:val="nl"/>
        </w:rPr>
        <w:t xml:space="preserve">    </w:t>
      </w:r>
      <w:r>
        <w:rPr>
          <w:rFonts w:hint="eastAsia" w:ascii="仿宋_GB2312" w:hAnsi="仿宋_GB2312" w:eastAsia="仿宋_GB2312" w:cs="仿宋_GB2312"/>
          <w:sz w:val="28"/>
          <w:szCs w:val="28"/>
          <w:u w:val="single"/>
          <w:lang w:val="nl-NL"/>
        </w:rPr>
        <w:t xml:space="preserve"> </w:t>
      </w:r>
      <w:r>
        <w:rPr>
          <w:rFonts w:hint="eastAsia" w:ascii="仿宋_GB2312" w:hAnsi="仿宋_GB2312" w:eastAsia="仿宋_GB2312" w:cs="仿宋_GB2312"/>
          <w:sz w:val="28"/>
          <w:szCs w:val="28"/>
          <w:lang w:val="nl"/>
        </w:rPr>
        <w:t>）为维护负责人，负责与甲方进行沟通并协调乙方内部工作，并有权签署本合同履行过程中涉及的各项书面文件（除另有授权外，不包括本合同及本合同的补充协议）。未经甲方书面同意，乙方不得随意变更维护负责人，否则甲方有权终止本合同并追究乙方的违约责任。</w:t>
      </w:r>
    </w:p>
    <w:p w14:paraId="5F533BAE">
      <w:pPr>
        <w:wordWrap w:val="0"/>
        <w:topLinePunct/>
        <w:adjustRightInd w:val="0"/>
        <w:snapToGrid w:val="0"/>
        <w:ind w:firstLine="551" w:firstLineChars="196"/>
        <w:rPr>
          <w:rFonts w:ascii="仿宋_GB2312" w:hAnsi="仿宋_GB2312" w:eastAsia="仿宋_GB2312" w:cs="仿宋_GB2312"/>
          <w:b/>
          <w:sz w:val="28"/>
          <w:szCs w:val="28"/>
        </w:rPr>
      </w:pPr>
      <w:r>
        <w:rPr>
          <w:rFonts w:hint="eastAsia" w:ascii="仿宋_GB2312" w:hAnsi="仿宋_GB2312" w:eastAsia="仿宋_GB2312" w:cs="仿宋_GB2312"/>
          <w:b/>
          <w:sz w:val="28"/>
          <w:szCs w:val="28"/>
        </w:rPr>
        <w:t>第七条 合同费用及支付方式</w:t>
      </w:r>
    </w:p>
    <w:p w14:paraId="3E3E090B">
      <w:pPr>
        <w:wordWrap w:val="0"/>
        <w:topLinePunct/>
        <w:adjustRightInd w:val="0"/>
        <w:snapToGrid w:val="0"/>
        <w:ind w:firstLine="551" w:firstLineChars="196"/>
        <w:rPr>
          <w:rFonts w:ascii="仿宋_GB2312" w:hAnsi="仿宋_GB2312" w:eastAsia="仿宋_GB2312" w:cs="仿宋_GB2312"/>
          <w:sz w:val="28"/>
          <w:szCs w:val="28"/>
        </w:rPr>
      </w:pPr>
      <w:r>
        <w:rPr>
          <w:rFonts w:hint="eastAsia" w:ascii="仿宋_GB2312" w:hAnsi="仿宋_GB2312" w:eastAsia="仿宋_GB2312" w:cs="仿宋_GB2312"/>
          <w:b/>
          <w:sz w:val="28"/>
          <w:szCs w:val="28"/>
        </w:rPr>
        <w:t>（一）</w:t>
      </w:r>
      <w:r>
        <w:rPr>
          <w:rFonts w:hint="eastAsia" w:ascii="仿宋_GB2312" w:hAnsi="仿宋_GB2312" w:eastAsia="仿宋_GB2312" w:cs="仿宋_GB2312"/>
          <w:sz w:val="28"/>
          <w:szCs w:val="28"/>
        </w:rPr>
        <w:t xml:space="preserve"> 维保维护项目付款方法：</w:t>
      </w:r>
    </w:p>
    <w:p w14:paraId="59618B3D">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bCs/>
          <w:sz w:val="28"/>
          <w:szCs w:val="28"/>
        </w:rPr>
        <w:t>甲方</w:t>
      </w:r>
      <w:r>
        <w:rPr>
          <w:rFonts w:hint="eastAsia" w:ascii="仿宋_GB2312" w:hAnsi="仿宋_GB2312" w:eastAsia="仿宋_GB2312" w:cs="仿宋_GB2312"/>
          <w:sz w:val="28"/>
          <w:szCs w:val="28"/>
        </w:rPr>
        <w:t>按季度支付维护维保项目款。合同消防维保一年暂定价（即乙方中选价）为￥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元（大写人民币</w:t>
      </w:r>
      <w:r>
        <w:rPr>
          <w:rFonts w:hint="eastAsia" w:ascii="仿宋_GB2312" w:hAnsi="仿宋_GB2312" w:eastAsia="仿宋_GB2312" w:cs="仿宋_GB2312"/>
          <w:sz w:val="28"/>
          <w:szCs w:val="28"/>
          <w:u w:val="single"/>
        </w:rPr>
        <w:t xml:space="preserve">        元</w:t>
      </w:r>
      <w:r>
        <w:rPr>
          <w:rFonts w:hint="eastAsia" w:ascii="仿宋_GB2312" w:hAnsi="仿宋_GB2312" w:eastAsia="仿宋_GB2312" w:cs="仿宋_GB2312"/>
          <w:sz w:val="28"/>
          <w:szCs w:val="28"/>
        </w:rPr>
        <w:t>整），其中不含税价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元，增值税额</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元，不含税价格已包含乙方日常维护、人力及其他等为完成本合同所需的全部费用，除合同另有约定外，甲方不再支付其他任何费用。</w:t>
      </w:r>
    </w:p>
    <w:p w14:paraId="56F3B6F0">
      <w:pPr>
        <w:wordWrap w:val="0"/>
        <w:topLinePunct/>
        <w:adjustRightInd w:val="0"/>
        <w:snapToGrid w:val="0"/>
        <w:ind w:firstLine="548" w:firstLineChars="196"/>
        <w:rPr>
          <w:sz w:val="28"/>
          <w:szCs w:val="28"/>
        </w:rPr>
      </w:pPr>
      <w:r>
        <w:rPr>
          <w:rFonts w:hint="eastAsia" w:ascii="仿宋_GB2312" w:hAnsi="仿宋_GB2312" w:eastAsia="仿宋_GB2312" w:cs="仿宋_GB2312"/>
          <w:sz w:val="28"/>
          <w:szCs w:val="28"/>
        </w:rPr>
        <w:t>乙方实际自</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日至</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日提供维保服务。</w:t>
      </w:r>
    </w:p>
    <w:p w14:paraId="212782EF">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2.每季度完成维保工作后，需根据甲方评审结果进行支付，评审依据维保单位评审管理方案规定（附件 3 ）；最后一个季度的结算付款需向甲方提交合同期检测报告，经确认设备设施正常方可支付。</w:t>
      </w:r>
    </w:p>
    <w:p w14:paraId="56065B0A">
      <w:pPr>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（二）消防系统维修费用为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元，详见附件4。</w:t>
      </w:r>
    </w:p>
    <w:p w14:paraId="5FE77DFD">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乙方需在消防系统正常运作前按清单提供此次维修服务，维修完成并通过甲方验收后15个工作日内，提供维修验收单、对应的   %增值税专用发票等资料向甲方申请维付款维修费用的97%，即¥    （大写：人民币     ）。剩余的 3%，维修质保期和合期满后，乙方提供发票和资料经甲方审核通过后10个工作日支付，即¥    （大写：人民币     ）。</w:t>
      </w:r>
    </w:p>
    <w:p w14:paraId="24DA0AAB">
      <w:pPr>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（三）合同期内如遇国家调整增值税税率，则按本合同未执行完</w:t>
      </w:r>
    </w:p>
    <w:p w14:paraId="511B3174">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的不含税价和调整后的增值税税率结算价款。不含税价=含税价÷（1+原增值税税率）。</w:t>
      </w:r>
    </w:p>
    <w:p w14:paraId="2DD3E5F7">
      <w:pPr>
        <w:wordWrap w:val="0"/>
        <w:topLinePunct/>
        <w:adjustRightInd w:val="0"/>
        <w:snapToGrid w:val="0"/>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（四）每次付款前，乙方须按甲方要求向甲方开具相应金额合法有效的增值税发票和提交相应资料，经审核无误后，</w:t>
      </w:r>
      <w:r>
        <w:rPr>
          <w:rFonts w:hint="eastAsia" w:ascii="仿宋_GB2312" w:hAnsi="仿宋_GB2312" w:eastAsia="仿宋_GB2312" w:cs="仿宋_GB2312"/>
          <w:bCs/>
          <w:sz w:val="28"/>
          <w:szCs w:val="28"/>
        </w:rPr>
        <w:t>甲方在30个工作日内向乙方支付相应维保费。</w:t>
      </w:r>
    </w:p>
    <w:p w14:paraId="625336CB">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（五）甲方增值税发票开票信息：</w:t>
      </w:r>
    </w:p>
    <w:p w14:paraId="445F0825">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单位名称：中国对外贸易中心集团有限公司</w:t>
      </w:r>
    </w:p>
    <w:p w14:paraId="433EE72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纳税人识别号：91440000190346511F</w:t>
      </w:r>
    </w:p>
    <w:p w14:paraId="7A9676AC">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地址、广州市海珠区阅江中路382号</w:t>
      </w:r>
    </w:p>
    <w:p w14:paraId="49708C86">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电话：020-89138226</w:t>
      </w:r>
    </w:p>
    <w:p w14:paraId="52D458C4">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开户行：中国建设银行广交会支行</w:t>
      </w:r>
    </w:p>
    <w:p w14:paraId="57D9C39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帐号：44001450612059128128</w:t>
      </w:r>
    </w:p>
    <w:p w14:paraId="3CBC0326">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（六）乙方收款银行账户信息：</w:t>
      </w:r>
    </w:p>
    <w:p w14:paraId="35DEBA6C">
      <w:pPr>
        <w:wordWrap w:val="0"/>
        <w:topLinePunct/>
        <w:adjustRightInd w:val="0"/>
        <w:snapToGrid w:val="0"/>
        <w:ind w:firstLine="560" w:firstLineChars="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开户名：</w:t>
      </w:r>
      <w:r>
        <w:rPr>
          <w:rFonts w:hint="eastAsia" w:ascii="仿宋_GB2312" w:hAnsi="仿宋_GB2312" w:eastAsia="仿宋_GB2312" w:cs="仿宋_GB2312"/>
          <w:sz w:val="28"/>
          <w:szCs w:val="28"/>
          <w:u w:val="single"/>
        </w:rPr>
        <w:t xml:space="preserve">                </w:t>
      </w:r>
    </w:p>
    <w:p w14:paraId="0B769E1C">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开户银行：</w:t>
      </w:r>
      <w:r>
        <w:rPr>
          <w:rFonts w:hint="eastAsia" w:ascii="仿宋_GB2312" w:hAnsi="仿宋_GB2312" w:eastAsia="仿宋_GB2312" w:cs="仿宋_GB2312"/>
          <w:sz w:val="28"/>
          <w:szCs w:val="28"/>
          <w:u w:val="single"/>
        </w:rPr>
        <w:t xml:space="preserve">                </w:t>
      </w:r>
    </w:p>
    <w:p w14:paraId="21FA8CCD">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账号：</w:t>
      </w:r>
      <w:r>
        <w:rPr>
          <w:rFonts w:hint="eastAsia" w:ascii="仿宋_GB2312" w:hAnsi="仿宋_GB2312" w:eastAsia="仿宋_GB2312" w:cs="仿宋_GB2312"/>
          <w:sz w:val="28"/>
          <w:szCs w:val="28"/>
          <w:u w:val="single"/>
        </w:rPr>
        <w:t xml:space="preserve">                     </w:t>
      </w:r>
    </w:p>
    <w:p w14:paraId="7A23D895">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u w:val="single"/>
        </w:rPr>
        <w:t xml:space="preserve">                     </w:t>
      </w:r>
    </w:p>
    <w:p w14:paraId="73F8F0B8">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电话：</w:t>
      </w:r>
      <w:r>
        <w:rPr>
          <w:rFonts w:hint="eastAsia" w:ascii="仿宋_GB2312" w:hAnsi="仿宋_GB2312" w:eastAsia="仿宋_GB2312" w:cs="仿宋_GB2312"/>
          <w:sz w:val="28"/>
          <w:szCs w:val="28"/>
          <w:u w:val="single"/>
        </w:rPr>
        <w:t xml:space="preserve">           </w:t>
      </w:r>
    </w:p>
    <w:p w14:paraId="73B0D242">
      <w:pPr>
        <w:wordWrap w:val="0"/>
        <w:topLinePunct/>
        <w:adjustRightInd w:val="0"/>
        <w:snapToGrid w:val="0"/>
        <w:ind w:firstLine="548" w:firstLineChars="196"/>
        <w:rPr>
          <w:rFonts w:ascii="仿宋_GB2312" w:hAnsi="仿宋_GB2312" w:eastAsia="仿宋_GB2312" w:cs="仿宋_GB2312"/>
          <w:b/>
          <w:sz w:val="28"/>
          <w:szCs w:val="28"/>
        </w:rPr>
      </w:pPr>
      <w:r>
        <w:rPr>
          <w:rFonts w:hint="eastAsia" w:ascii="仿宋_GB2312" w:hAnsi="仿宋_GB2312" w:eastAsia="仿宋_GB2312" w:cs="仿宋_GB2312"/>
          <w:sz w:val="28"/>
          <w:szCs w:val="28"/>
        </w:rPr>
        <w:t>乙方上述收款银行账户与本合同签章或其他条款列明的银行账户不一致的，以上述银行账户信息为准。上述银行账户信息如有变更，乙方应及时在甲方付款到期日前书面通知甲方，并按甲方要求提供相关证明材料；乙方要求甲方付款至第三方账户不属于收款银行账户信息变更，甲方有权拒绝。乙方不能及时告知甲方其正确的银行信息或不能及时提供符合甲方要求的证明材料，需承担由于未及时告知正确银行信息而产生的一切损失或后果。</w:t>
      </w:r>
    </w:p>
    <w:p w14:paraId="54BA4F5F">
      <w:pPr>
        <w:wordWrap w:val="0"/>
        <w:topLinePunct/>
        <w:adjustRightInd w:val="0"/>
        <w:snapToGrid w:val="0"/>
        <w:ind w:firstLine="551" w:firstLineChars="196"/>
        <w:rPr>
          <w:rFonts w:ascii="仿宋_GB2312" w:hAnsi="仿宋_GB2312" w:eastAsia="仿宋_GB2312" w:cs="仿宋_GB2312"/>
          <w:b/>
          <w:sz w:val="28"/>
          <w:szCs w:val="28"/>
        </w:rPr>
      </w:pPr>
      <w:r>
        <w:rPr>
          <w:rFonts w:hint="eastAsia" w:ascii="仿宋_GB2312" w:hAnsi="仿宋_GB2312" w:eastAsia="仿宋_GB2312" w:cs="仿宋_GB2312"/>
          <w:b/>
          <w:sz w:val="28"/>
          <w:szCs w:val="28"/>
        </w:rPr>
        <w:t>第八条 违约责任</w:t>
      </w:r>
    </w:p>
    <w:p w14:paraId="737D9A60">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甲方无正当理由未按合同约定向乙方支付合同款的，自逾期之日起甲方应当对逾期付款部分按照违约情形发生时中国外汇交易中心（全国银行间同业拆借中心）公布的一年期贷款市场报价利率向乙方支付违约金。甲方逾期付款超过</w:t>
      </w:r>
      <w:r>
        <w:rPr>
          <w:rFonts w:hint="eastAsia" w:ascii="仿宋_GB2312" w:hAnsi="仿宋_GB2312" w:eastAsia="仿宋_GB2312" w:cs="仿宋_GB2312"/>
          <w:sz w:val="28"/>
          <w:szCs w:val="28"/>
          <w:u w:val="single"/>
        </w:rPr>
        <w:t>40</w:t>
      </w:r>
      <w:r>
        <w:rPr>
          <w:rFonts w:hint="eastAsia" w:ascii="仿宋_GB2312" w:hAnsi="仿宋_GB2312" w:eastAsia="仿宋_GB2312" w:cs="仿宋_GB2312"/>
          <w:sz w:val="28"/>
          <w:szCs w:val="28"/>
        </w:rPr>
        <w:t>天的，乙方有权单方面终止合同并无须就此承担违约责任。乙方要求继续履行本合同的，甲方除按前述标准支付违约金外，仍应按照合同规定的金额付款，但乙方履行本合同的日期可以相应顺延。</w:t>
      </w:r>
    </w:p>
    <w:p w14:paraId="549C90A1">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（二）因乙方原因未能按本合同约定提供系统维护服务，致使甲方日常工作无法正常开展的，甲方有权视情况另请第三方进行服务，产生的所有费用由乙方承担，且乙方应赔偿甲方因此受到的全部损失。</w:t>
      </w:r>
    </w:p>
    <w:p w14:paraId="65255074">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（三）甲方因乙方提供的维保服务受到相关侵权指控、索赔的，</w:t>
      </w:r>
      <w:r>
        <w:rPr>
          <w:rFonts w:hint="eastAsia" w:ascii="仿宋_GB2312" w:hAnsi="仿宋_GB2312" w:eastAsia="仿宋_GB2312" w:cs="仿宋_GB2312"/>
          <w:sz w:val="28"/>
          <w:szCs w:val="28"/>
        </w:rPr>
        <w:t>乙方应赔偿甲方因该等指控、索赔所受的损失及不能正常使用本合同项下系统所受的损失。</w:t>
      </w:r>
    </w:p>
    <w:p w14:paraId="66709169">
      <w:pPr>
        <w:wordWrap w:val="0"/>
        <w:topLinePunct/>
        <w:adjustRightInd w:val="0"/>
        <w:snapToGrid w:val="0"/>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（四）除不可抗力外，乙方不得以任何理由不履行本合同或要求终止、解除本合同。乙方不履行本合同约定的义务或要求终止、解除本合同的，乙方应按年度合同暂定价的20%向甲方支付违约金。</w:t>
      </w:r>
    </w:p>
    <w:p w14:paraId="68B7105B">
      <w:pPr>
        <w:wordWrap w:val="0"/>
        <w:topLinePunct/>
        <w:adjustRightInd w:val="0"/>
        <w:snapToGrid w:val="0"/>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（五）未经甲方书面同意，乙方将在履行本合同过程中知晓的甲方的商业信息或资料泄露给第三方或用于其他项目的，应按年度合同暂定价的10%向甲方支付违约金。</w:t>
      </w:r>
    </w:p>
    <w:p w14:paraId="6DFE9E16">
      <w:pPr>
        <w:wordWrap w:val="0"/>
        <w:topLinePunct/>
        <w:adjustRightInd w:val="0"/>
        <w:snapToGrid w:val="0"/>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（六）乙方违反本合同第四条第（一）款规定的紧急抢修时间规定的，每迟延一日乙方应按本合同价款万分之四的标准向甲方支付违约金（不足一日的按一日计算），并赔偿甲方因此造成的一切损失。</w:t>
      </w:r>
    </w:p>
    <w:p w14:paraId="222578A9">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（七）由于乙方维护维保不到位导致未能通过年审或被检查出重大问题的，乙方应采取补救措施，或甲方也可适用本条第（二）款约定，同时乙方应按年度合同暂定价的</w:t>
      </w:r>
      <w:r>
        <w:rPr>
          <w:rFonts w:hint="eastAsia" w:ascii="仿宋_GB2312" w:hAnsi="仿宋_GB2312" w:eastAsia="仿宋_GB2312" w:cs="仿宋_GB2312"/>
          <w:sz w:val="28"/>
          <w:szCs w:val="28"/>
          <w:u w:val="single"/>
        </w:rPr>
        <w:t xml:space="preserve"> 10  </w:t>
      </w:r>
      <w:r>
        <w:rPr>
          <w:rFonts w:hint="eastAsia" w:ascii="仿宋_GB2312" w:hAnsi="仿宋_GB2312" w:eastAsia="仿宋_GB2312" w:cs="仿宋_GB2312"/>
          <w:sz w:val="28"/>
          <w:szCs w:val="28"/>
        </w:rPr>
        <w:t>%向甲方支付违约金。当发生火灾或出现火灾险情时，项目的消防系统设施或设备不能有效工作，经消防或安全生产管理部门界定排除人为破坏或甲方操作失误的，乙方应承担相应的法律责任并赔偿由此造成的任何一方人身、财产的损失，同时应按年度合同暂定价的</w:t>
      </w:r>
      <w:r>
        <w:rPr>
          <w:rFonts w:hint="eastAsia" w:ascii="仿宋_GB2312" w:hAnsi="仿宋_GB2312" w:eastAsia="仿宋_GB2312" w:cs="仿宋_GB2312"/>
          <w:sz w:val="28"/>
          <w:szCs w:val="28"/>
          <w:u w:val="single"/>
        </w:rPr>
        <w:t xml:space="preserve"> 10  </w:t>
      </w:r>
      <w:r>
        <w:rPr>
          <w:rFonts w:hint="eastAsia" w:ascii="仿宋_GB2312" w:hAnsi="仿宋_GB2312" w:eastAsia="仿宋_GB2312" w:cs="仿宋_GB2312"/>
          <w:sz w:val="28"/>
          <w:szCs w:val="28"/>
        </w:rPr>
        <w:t>%向甲方支付违约金。</w:t>
      </w:r>
    </w:p>
    <w:p w14:paraId="397EB18C">
      <w:pPr>
        <w:wordWrap w:val="0"/>
        <w:topLinePunct/>
        <w:adjustRightInd w:val="0"/>
        <w:snapToGrid w:val="0"/>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（八）因乙方的违约行为或侵权行为（含消防设备检查不通过、不能有效工作或因设备问题致人损害等），致使甲方被行政/司法处罚、被第三方追责、索赔的，乙方应赔偿甲方的损失。</w:t>
      </w:r>
    </w:p>
    <w:p w14:paraId="71A9AAC3">
      <w:pPr>
        <w:wordWrap w:val="0"/>
        <w:topLinePunct/>
        <w:adjustRightInd w:val="0"/>
        <w:snapToGrid w:val="0"/>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（九）本合同没有具体约定违约金的其他乙方违约事项，乙方均按年度合同暂定价的</w:t>
      </w:r>
      <w:r>
        <w:rPr>
          <w:rFonts w:hint="eastAsia" w:ascii="仿宋_GB2312" w:hAnsi="仿宋_GB2312" w:eastAsia="仿宋_GB2312" w:cs="仿宋_GB2312"/>
          <w:sz w:val="28"/>
          <w:szCs w:val="28"/>
          <w:u w:val="single"/>
        </w:rPr>
        <w:t xml:space="preserve">  1 </w:t>
      </w:r>
      <w:r>
        <w:rPr>
          <w:rFonts w:hint="eastAsia" w:ascii="仿宋_GB2312" w:hAnsi="仿宋_GB2312" w:eastAsia="仿宋_GB2312" w:cs="仿宋_GB2312"/>
          <w:sz w:val="28"/>
          <w:szCs w:val="28"/>
        </w:rPr>
        <w:t>%向甲方支付违约金。若乙方的违约事项发生超过3次的，甲方有权单方解除合同，并一次性要求乙方按年度合同暂定价的</w:t>
      </w:r>
      <w:r>
        <w:rPr>
          <w:rFonts w:hint="eastAsia" w:ascii="仿宋_GB2312" w:hAnsi="仿宋_GB2312" w:eastAsia="仿宋_GB2312" w:cs="仿宋_GB2312"/>
          <w:sz w:val="28"/>
          <w:szCs w:val="28"/>
          <w:u w:val="single"/>
        </w:rPr>
        <w:t xml:space="preserve">  10 </w:t>
      </w:r>
      <w:r>
        <w:rPr>
          <w:rFonts w:hint="eastAsia" w:ascii="仿宋_GB2312" w:hAnsi="仿宋_GB2312" w:eastAsia="仿宋_GB2312" w:cs="仿宋_GB2312"/>
          <w:sz w:val="28"/>
          <w:szCs w:val="28"/>
        </w:rPr>
        <w:t>%支付违约金。</w:t>
      </w:r>
    </w:p>
    <w:p w14:paraId="142C55D9">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（十）乙方出现违约行为或对甲方的侵权行为，甲方有权根据附件1的有关规定将乙方列入供应商黑名单，禁止乙方参与甲方及各关联企业的有关采购活动。</w:t>
      </w:r>
    </w:p>
    <w:p w14:paraId="3495C89C">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（十一）本合同约定的乙方应付违约金可在甲方未付款中扣除，。乙方根据本合同约定应承担违约责任并向甲方支付违约金的，如违约金不足以弥补甲方遭受的实际损失，乙方应就不足部分向甲方承担赔偿责任。</w:t>
      </w:r>
    </w:p>
    <w:p w14:paraId="7050BD23">
      <w:pPr>
        <w:wordWrap w:val="0"/>
        <w:topLinePunct/>
        <w:adjustRightInd w:val="0"/>
        <w:snapToGrid w:val="0"/>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第九条 不可抗力</w:t>
      </w:r>
    </w:p>
    <w:p w14:paraId="4EEC25BC">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本合同项下不可抗力是指在签订合同时不可预见、在合同履行过程中不能避免并且不能克服的、直接影响本合同正常履行的客观情况。本合同所指的不可抗力事件包括：本合同履行过程中发生的地震、台风、水灾等自然灾害、疫疾（如传染性疾病等）、战争、罢工、示威游行、非甲方所能控制原因造成的断电断水、政府（包括但不限于商务部、广东省人民政府、广州市人民政府等）发布的指导性意见或者行政命令、决定及其他相关文件、政府行为等不可预见并对其发生和后果不能避免和克服的、且直接影响本合同正常履行的所有事件。</w:t>
      </w:r>
    </w:p>
    <w:p w14:paraId="2473E164">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任何一方遭遇不可抗力事件应立即将有关情况书面通知另一方，并在不可抗力事件消失之日起十五天内提供由事件发生地区公证机关或经双方认可的第三方机构出具的涉及该不可抗力事件的发生和持续时间等情况的有效证明文件。</w:t>
      </w:r>
    </w:p>
    <w:p w14:paraId="63B69727">
      <w:pPr>
        <w:wordWrap w:val="0"/>
        <w:topLinePunct/>
        <w:adjustRightInd w:val="0"/>
        <w:snapToGrid w:val="0"/>
        <w:ind w:firstLine="560" w:firstLineChars="200"/>
        <w:rPr>
          <w:rFonts w:ascii="仿宋_GB2312" w:hAnsi="仿宋_GB2312" w:eastAsia="仿宋_GB2312" w:cs="仿宋_GB2312"/>
          <w:b/>
          <w:sz w:val="28"/>
          <w:szCs w:val="28"/>
        </w:rPr>
      </w:pPr>
      <w:r>
        <w:rPr>
          <w:rFonts w:hint="eastAsia" w:ascii="仿宋_GB2312" w:hAnsi="仿宋_GB2312" w:eastAsia="仿宋_GB2312" w:cs="仿宋_GB2312"/>
          <w:sz w:val="28"/>
          <w:szCs w:val="28"/>
        </w:rPr>
        <w:t>（三）发生不可抗力事件双方应通过友好协商等方式在合理的时间内达成进一步履行、修改或解除合同的补充协议。因不可抗力事件导致甲方的合同目的不能及时实现或可能造成甲方损失的，甲方有权单方解除合同，并无需承担赔偿责任。</w:t>
      </w:r>
    </w:p>
    <w:p w14:paraId="5AE0BA24">
      <w:pPr>
        <w:wordWrap w:val="0"/>
        <w:topLinePunct/>
        <w:adjustRightInd w:val="0"/>
        <w:snapToGrid w:val="0"/>
        <w:ind w:firstLine="551" w:firstLineChars="196"/>
        <w:rPr>
          <w:rFonts w:ascii="仿宋_GB2312" w:hAnsi="仿宋_GB2312" w:eastAsia="仿宋_GB2312" w:cs="仿宋_GB2312"/>
          <w:b/>
          <w:sz w:val="28"/>
          <w:szCs w:val="28"/>
        </w:rPr>
      </w:pPr>
      <w:r>
        <w:rPr>
          <w:rFonts w:hint="eastAsia" w:ascii="仿宋_GB2312" w:hAnsi="仿宋_GB2312" w:eastAsia="仿宋_GB2312" w:cs="仿宋_GB2312"/>
          <w:b/>
          <w:sz w:val="28"/>
          <w:szCs w:val="28"/>
        </w:rPr>
        <w:t>第十条 适用法律及争议解决</w:t>
      </w:r>
    </w:p>
    <w:p w14:paraId="5F1875DF">
      <w:pPr>
        <w:wordWrap w:val="0"/>
        <w:topLinePunct/>
        <w:adjustRightInd w:val="0"/>
        <w:snapToGrid w:val="0"/>
        <w:ind w:firstLine="548" w:firstLineChars="196"/>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（一）本合同适用中华人民共和国（不含香港、澳门及台湾地区，以下简称为“中国”）法律并按照中国的法律进行解释。</w:t>
      </w:r>
    </w:p>
    <w:p w14:paraId="2FE5657E">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（二）在履行本合同过程中发生的任何争议，双方应首先力求以友好协商的方式予以解决。如果协商开始40个自然日后此争议仍未解决，任何一方可向甲方住所地人民法院提起诉讼。</w:t>
      </w:r>
    </w:p>
    <w:p w14:paraId="309A05BF">
      <w:pPr>
        <w:wordWrap w:val="0"/>
        <w:topLinePunct/>
        <w:adjustRightInd w:val="0"/>
        <w:snapToGrid w:val="0"/>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第十一条 其他</w:t>
      </w:r>
    </w:p>
    <w:p w14:paraId="00288E1A">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（一）本合同项下所称甲方或第三人的损失，包括但不限于实际损失及维权所发生的调查费、律师费、保全费、鉴定费、评估费、诉讼费等。</w:t>
      </w:r>
    </w:p>
    <w:p w14:paraId="7CEB8E8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（二）如无特别说明，本合同项下“天”、“日”指自然日。</w:t>
      </w:r>
    </w:p>
    <w:p w14:paraId="3E68C94D">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甲乙双方因履行本合同而相互发出或者提供的所有通知、文件、资料，均以本合同所列明的地址、传真号、电子邮箱送达，一方如迁址或者变更传真、电子邮箱、电话，应当书面通知对方；直接交付的，在交付之时视为送达；通过传真方式的，在发出传真时视为送达；通过邮寄方式的，EMS寄出第2天视为送达；通过电子邮箱方式的，一方邮件设备显示已成功投递对方服务器的视为送达。</w:t>
      </w:r>
    </w:p>
    <w:p w14:paraId="4EEF4BFF">
      <w:pPr>
        <w:wordWrap w:val="0"/>
        <w:topLinePunct/>
        <w:adjustRightInd w:val="0"/>
        <w:snapToGrid w:val="0"/>
        <w:ind w:firstLine="480"/>
        <w:rPr>
          <w:rFonts w:ascii="仿宋_GB2312" w:hAnsi="仿宋_GB2312" w:eastAsia="仿宋_GB2312" w:cs="仿宋_GB2312"/>
          <w:sz w:val="28"/>
          <w:szCs w:val="28"/>
        </w:rPr>
      </w:pPr>
      <w:r>
        <w:rPr>
          <w:rFonts w:hint="eastAsia" w:ascii="仿宋_GB2312" w:hAnsi="仿宋_GB2312" w:eastAsia="仿宋_GB2312" w:cs="仿宋_GB2312"/>
          <w:sz w:val="28"/>
          <w:szCs w:val="28"/>
        </w:rPr>
        <w:t>（四）本合同中所有条款的标题仅为查阅方便而设，不得影响或限制对本合同内容的解释。</w:t>
      </w:r>
    </w:p>
    <w:p w14:paraId="12CA7F29">
      <w:pPr>
        <w:wordWrap w:val="0"/>
        <w:topLinePunct/>
        <w:adjustRightInd w:val="0"/>
        <w:snapToGrid w:val="0"/>
        <w:ind w:firstLine="480"/>
        <w:rPr>
          <w:rFonts w:ascii="仿宋_GB2312" w:hAnsi="仿宋_GB2312" w:eastAsia="仿宋_GB2312" w:cs="仿宋_GB2312"/>
          <w:sz w:val="28"/>
          <w:szCs w:val="28"/>
        </w:rPr>
      </w:pPr>
      <w:r>
        <w:rPr>
          <w:rFonts w:hint="eastAsia" w:ascii="仿宋_GB2312" w:hAnsi="仿宋_GB2312" w:eastAsia="仿宋_GB2312" w:cs="仿宋_GB2312"/>
          <w:sz w:val="28"/>
          <w:szCs w:val="28"/>
        </w:rPr>
        <w:t>（五）本合同附件为：1.合同廉洁责任书；2.安全生产责任书； 3.消防维保公司管理评审报告；4.维修项目和清单；5.《广州市公安消防局建筑工程消防设计审核意见书》（穗公消（建）审[2000]第0240号）；6.</w:t>
      </w:r>
      <w:bookmarkStart w:id="2" w:name="_Hlk200645710"/>
      <w:r>
        <w:rPr>
          <w:rFonts w:hint="eastAsia" w:ascii="仿宋_GB2312" w:hAnsi="仿宋_GB2312" w:eastAsia="仿宋_GB2312" w:cs="仿宋_GB2312"/>
          <w:sz w:val="28"/>
          <w:szCs w:val="28"/>
        </w:rPr>
        <w:t>《广州市公安消防局建筑工程消防验收意见书》（穗公消（建）验[2001]第381号）</w:t>
      </w:r>
      <w:bookmarkEnd w:id="2"/>
      <w:r>
        <w:rPr>
          <w:rFonts w:hint="eastAsia" w:ascii="仿宋_GB2312" w:hAnsi="仿宋_GB2312" w:eastAsia="仿宋_GB2312" w:cs="仿宋_GB2312"/>
          <w:sz w:val="28"/>
          <w:szCs w:val="28"/>
        </w:rPr>
        <w:t>。附件与本合同具有同等法律效力。附件与合同正文约定不一致的，以合同正文为准。</w:t>
      </w:r>
    </w:p>
    <w:p w14:paraId="1602B9CC">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（六）除本合同另有约定外，下列文件存在的则应被认为是组成本合同的一部分，并互为补充和解释：</w:t>
      </w:r>
    </w:p>
    <w:p w14:paraId="1DA8C0EC">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1.本合同的补充协议或修正文件（如有）；</w:t>
      </w:r>
    </w:p>
    <w:p w14:paraId="4FA3DDFF">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2.本合同；</w:t>
      </w:r>
    </w:p>
    <w:p w14:paraId="344868C1">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3.中标通知书（如有）；</w:t>
      </w:r>
    </w:p>
    <w:p w14:paraId="2C54A23D">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4.甲方招标文书（含招标文件补充文件、澄清文件、答疑文件等）及其目录（如有）；</w:t>
      </w:r>
    </w:p>
    <w:p w14:paraId="2253329E">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5.乙方投（应）标文书（含投标文件澄清等）及其附录（如有）；</w:t>
      </w:r>
    </w:p>
    <w:p w14:paraId="3A685E53">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6.工程（作业）技术标准、规范及有关技术文件和要求（如有）；</w:t>
      </w:r>
    </w:p>
    <w:p w14:paraId="677AC80F">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7.图纸（如有）；</w:t>
      </w:r>
    </w:p>
    <w:p w14:paraId="67F29A16">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8.已标价工程（作业）量清单或预算书（如有）；</w:t>
      </w:r>
    </w:p>
    <w:p w14:paraId="7E68779F">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9.在本合同订立及履行过程中形成的与本合同有关的其他文件（如有）。</w:t>
      </w:r>
    </w:p>
    <w:p w14:paraId="531FF017">
      <w:pPr>
        <w:adjustRightInd w:val="0"/>
        <w:snapToGrid w:val="0"/>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前述文件之间约定不一致的，以顺序在先文件为准，同一顺序的以文件发出时间在后的为准。若乙方投（应）标文书及其附录（如有）中存在对甲方更为有利或更优的条件承诺，且该承诺未违反甲方招标文书及其附录（如有）的实质性要求，则该有利或更优条件承诺的效力优先于甲方招标文书及其附录（如有）的相关内容。</w:t>
      </w:r>
    </w:p>
    <w:p w14:paraId="4C32FCDA">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七）本合同一式七份，甲方执五份，乙方执二份，均具有同等法律效力。本合同未尽事宜或需修改事宜，由双方协商后另行签订补充协议，任何修订或补充协议均以书面形式为准，补充协议与本合同具有同等法律效力。</w:t>
      </w:r>
    </w:p>
    <w:p w14:paraId="128D378E">
      <w:pPr>
        <w:wordWrap w:val="0"/>
        <w:topLinePunct/>
        <w:adjustRightInd w:val="0"/>
        <w:snapToGrid w:val="0"/>
        <w:ind w:firstLine="548" w:firstLineChars="196"/>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（八）本合同自双方法定代表人或授权代表签字并加盖公章或合同专用章之日起成立（双方落款时间不一致的，以在后时间为准）。</w:t>
      </w:r>
    </w:p>
    <w:p w14:paraId="63CFC605">
      <w:pPr>
        <w:wordWrap w:val="0"/>
        <w:topLinePunct/>
        <w:adjustRightInd w:val="0"/>
        <w:snapToGrid w:val="0"/>
        <w:ind w:firstLine="480"/>
      </w:pPr>
      <w:r>
        <w:rPr>
          <w:rFonts w:hint="eastAsia" w:ascii="仿宋_GB2312" w:hAnsi="仿宋_GB2312" w:eastAsia="仿宋_GB2312" w:cs="仿宋_GB2312"/>
          <w:sz w:val="28"/>
          <w:szCs w:val="28"/>
        </w:rPr>
        <w:t>（以下无正文）</w:t>
      </w:r>
    </w:p>
    <w:p w14:paraId="5B3DA698">
      <w:pPr>
        <w:wordWrap w:val="0"/>
        <w:topLinePunct/>
        <w:spacing w:line="480" w:lineRule="auto"/>
        <w:rPr>
          <w:rFonts w:ascii="仿宋_GB2312" w:hAnsi="宋体" w:eastAsia="仿宋_GB2312"/>
          <w:sz w:val="28"/>
          <w:szCs w:val="28"/>
        </w:rPr>
      </w:pPr>
    </w:p>
    <w:p w14:paraId="219B0CCD">
      <w:pPr>
        <w:wordWrap w:val="0"/>
        <w:topLinePunct/>
        <w:spacing w:line="480" w:lineRule="auto"/>
        <w:rPr>
          <w:rFonts w:ascii="仿宋_GB2312" w:hAnsi="宋体" w:eastAsia="仿宋_GB2312"/>
          <w:sz w:val="28"/>
          <w:szCs w:val="28"/>
        </w:rPr>
      </w:pPr>
      <w:r>
        <w:rPr>
          <w:rFonts w:hint="eastAsia" w:ascii="仿宋_GB2312" w:hAnsi="宋体" w:eastAsia="仿宋_GB2312"/>
          <w:sz w:val="28"/>
          <w:szCs w:val="28"/>
        </w:rPr>
        <w:t xml:space="preserve">甲方（盖章）：                     </w:t>
      </w:r>
    </w:p>
    <w:p w14:paraId="47385F2A">
      <w:pPr>
        <w:wordWrap w:val="0"/>
        <w:topLinePunct/>
        <w:spacing w:line="480" w:lineRule="auto"/>
        <w:rPr>
          <w:rFonts w:ascii="仿宋_GB2312" w:hAnsi="宋体" w:eastAsia="仿宋_GB2312"/>
          <w:sz w:val="28"/>
          <w:szCs w:val="28"/>
        </w:rPr>
      </w:pPr>
      <w:r>
        <w:rPr>
          <w:rFonts w:hint="eastAsia" w:ascii="仿宋_GB2312" w:hAnsi="宋体" w:eastAsia="仿宋_GB2312"/>
          <w:sz w:val="28"/>
          <w:szCs w:val="28"/>
        </w:rPr>
        <w:t xml:space="preserve">法定代表人或授权代表：      </w:t>
      </w:r>
    </w:p>
    <w:p w14:paraId="77507FC4">
      <w:pPr>
        <w:wordWrap w:val="0"/>
        <w:topLinePunct/>
        <w:spacing w:line="480" w:lineRule="auto"/>
        <w:rPr>
          <w:rFonts w:ascii="仿宋_GB2312" w:hAnsi="宋体" w:eastAsia="仿宋_GB2312"/>
          <w:sz w:val="28"/>
          <w:szCs w:val="28"/>
        </w:rPr>
      </w:pPr>
      <w:r>
        <w:rPr>
          <w:rFonts w:hint="eastAsia" w:ascii="仿宋_GB2312" w:hAnsi="宋体" w:eastAsia="仿宋_GB2312"/>
          <w:sz w:val="28"/>
          <w:szCs w:val="28"/>
          <w:u w:val="single"/>
        </w:rPr>
        <w:t xml:space="preserve">    </w:t>
      </w:r>
      <w:r>
        <w:rPr>
          <w:rFonts w:hint="eastAsia" w:ascii="仿宋_GB2312" w:hAnsi="宋体" w:eastAsia="仿宋_GB2312"/>
          <w:sz w:val="28"/>
          <w:szCs w:val="28"/>
        </w:rPr>
        <w:t>年</w:t>
      </w:r>
      <w:r>
        <w:rPr>
          <w:rFonts w:hint="eastAsia" w:ascii="仿宋_GB2312" w:hAnsi="宋体" w:eastAsia="仿宋_GB2312"/>
          <w:sz w:val="28"/>
          <w:szCs w:val="28"/>
          <w:u w:val="single"/>
        </w:rPr>
        <w:t xml:space="preserve">    </w:t>
      </w:r>
      <w:r>
        <w:rPr>
          <w:rFonts w:hint="eastAsia" w:ascii="仿宋_GB2312" w:hAnsi="宋体" w:eastAsia="仿宋_GB2312"/>
          <w:sz w:val="28"/>
          <w:szCs w:val="28"/>
        </w:rPr>
        <w:t>月</w:t>
      </w:r>
      <w:r>
        <w:rPr>
          <w:rFonts w:hint="eastAsia" w:ascii="仿宋_GB2312" w:hAnsi="宋体" w:eastAsia="仿宋_GB2312"/>
          <w:sz w:val="28"/>
          <w:szCs w:val="28"/>
          <w:u w:val="single"/>
        </w:rPr>
        <w:t xml:space="preserve">    </w:t>
      </w:r>
      <w:r>
        <w:rPr>
          <w:rFonts w:hint="eastAsia" w:ascii="仿宋_GB2312" w:hAnsi="宋体" w:eastAsia="仿宋_GB2312"/>
          <w:sz w:val="28"/>
          <w:szCs w:val="28"/>
        </w:rPr>
        <w:t xml:space="preserve">日            </w:t>
      </w:r>
    </w:p>
    <w:p w14:paraId="1045292F">
      <w:pPr>
        <w:wordWrap w:val="0"/>
        <w:topLinePunct/>
        <w:spacing w:line="480" w:lineRule="auto"/>
        <w:jc w:val="left"/>
        <w:rPr>
          <w:rFonts w:ascii="仿宋_GB2312" w:hAnsi="宋体" w:eastAsia="仿宋_GB2312"/>
          <w:sz w:val="28"/>
          <w:szCs w:val="28"/>
        </w:rPr>
      </w:pPr>
    </w:p>
    <w:p w14:paraId="1D5ABDA8">
      <w:pPr>
        <w:wordWrap w:val="0"/>
        <w:topLinePunct/>
        <w:spacing w:line="480" w:lineRule="auto"/>
        <w:jc w:val="left"/>
        <w:rPr>
          <w:rFonts w:ascii="仿宋_GB2312" w:hAnsi="宋体" w:eastAsia="仿宋_GB2312"/>
          <w:sz w:val="28"/>
          <w:szCs w:val="28"/>
        </w:rPr>
      </w:pPr>
    </w:p>
    <w:p w14:paraId="785CABD3">
      <w:pPr>
        <w:tabs>
          <w:tab w:val="left" w:pos="5520"/>
        </w:tabs>
        <w:wordWrap w:val="0"/>
        <w:topLinePunct/>
        <w:spacing w:line="480" w:lineRule="auto"/>
        <w:jc w:val="left"/>
        <w:rPr>
          <w:rFonts w:ascii="仿宋_GB2312" w:hAnsi="宋体" w:eastAsia="仿宋_GB2312"/>
          <w:sz w:val="28"/>
          <w:szCs w:val="28"/>
        </w:rPr>
      </w:pPr>
      <w:r>
        <w:rPr>
          <w:rFonts w:hint="eastAsia" w:ascii="仿宋_GB2312" w:hAnsi="宋体" w:eastAsia="仿宋_GB2312"/>
          <w:sz w:val="28"/>
          <w:szCs w:val="28"/>
        </w:rPr>
        <w:t xml:space="preserve">乙方（盖章）：  </w:t>
      </w:r>
      <w:r>
        <w:rPr>
          <w:rFonts w:hint="eastAsia" w:ascii="仿宋_GB2312" w:hAnsi="宋体" w:eastAsia="仿宋_GB2312"/>
          <w:sz w:val="28"/>
          <w:szCs w:val="28"/>
        </w:rPr>
        <w:tab/>
      </w:r>
    </w:p>
    <w:p w14:paraId="20FF7A2A">
      <w:pPr>
        <w:tabs>
          <w:tab w:val="left" w:pos="5048"/>
        </w:tabs>
        <w:wordWrap w:val="0"/>
        <w:topLinePunct/>
        <w:spacing w:line="480" w:lineRule="auto"/>
        <w:jc w:val="left"/>
        <w:rPr>
          <w:rFonts w:ascii="仿宋_GB2312" w:hAnsi="宋体" w:eastAsia="仿宋_GB2312"/>
          <w:sz w:val="28"/>
          <w:szCs w:val="28"/>
        </w:rPr>
      </w:pPr>
      <w:r>
        <w:rPr>
          <w:rFonts w:hint="eastAsia" w:ascii="仿宋_GB2312" w:hAnsi="宋体" w:eastAsia="仿宋_GB2312"/>
          <w:sz w:val="28"/>
          <w:szCs w:val="28"/>
        </w:rPr>
        <w:t xml:space="preserve">法定代表人或授权代表：    </w:t>
      </w:r>
      <w:r>
        <w:rPr>
          <w:rFonts w:hint="eastAsia" w:ascii="仿宋_GB2312" w:hAnsi="宋体" w:eastAsia="仿宋_GB2312"/>
          <w:sz w:val="28"/>
          <w:szCs w:val="28"/>
        </w:rPr>
        <w:tab/>
      </w:r>
    </w:p>
    <w:p w14:paraId="6877813A">
      <w:pPr>
        <w:wordWrap w:val="0"/>
        <w:topLinePunct/>
        <w:jc w:val="left"/>
        <w:rPr>
          <w:rFonts w:ascii="仿宋_GB2312" w:hAnsi="仿宋_GB2312" w:eastAsia="仿宋_GB2312" w:cs="仿宋_GB2312"/>
          <w:sz w:val="28"/>
          <w:szCs w:val="28"/>
        </w:rPr>
      </w:pPr>
      <w:r>
        <w:rPr>
          <w:rFonts w:hint="eastAsia" w:ascii="仿宋_GB2312" w:hAnsi="宋体" w:eastAsia="仿宋_GB2312"/>
          <w:sz w:val="28"/>
          <w:szCs w:val="28"/>
          <w:u w:val="single"/>
        </w:rPr>
        <w:t xml:space="preserve">    </w:t>
      </w:r>
      <w:r>
        <w:rPr>
          <w:rFonts w:hint="eastAsia" w:ascii="仿宋_GB2312" w:hAnsi="宋体" w:eastAsia="仿宋_GB2312"/>
          <w:sz w:val="28"/>
          <w:szCs w:val="28"/>
        </w:rPr>
        <w:t>年</w:t>
      </w:r>
      <w:r>
        <w:rPr>
          <w:rFonts w:hint="eastAsia" w:ascii="仿宋_GB2312" w:hAnsi="宋体" w:eastAsia="仿宋_GB2312"/>
          <w:sz w:val="28"/>
          <w:szCs w:val="28"/>
          <w:u w:val="single"/>
        </w:rPr>
        <w:t xml:space="preserve">    </w:t>
      </w:r>
      <w:r>
        <w:rPr>
          <w:rFonts w:hint="eastAsia" w:ascii="仿宋_GB2312" w:hAnsi="宋体" w:eastAsia="仿宋_GB2312"/>
          <w:sz w:val="28"/>
          <w:szCs w:val="28"/>
        </w:rPr>
        <w:t>月</w:t>
      </w:r>
      <w:r>
        <w:rPr>
          <w:rFonts w:hint="eastAsia" w:ascii="仿宋_GB2312" w:hAnsi="宋体" w:eastAsia="仿宋_GB2312"/>
          <w:sz w:val="28"/>
          <w:szCs w:val="28"/>
          <w:u w:val="single"/>
        </w:rPr>
        <w:t xml:space="preserve">    </w:t>
      </w:r>
      <w:r>
        <w:rPr>
          <w:rFonts w:hint="eastAsia" w:ascii="仿宋_GB2312" w:hAnsi="宋体" w:eastAsia="仿宋_GB2312"/>
          <w:sz w:val="28"/>
          <w:szCs w:val="28"/>
        </w:rPr>
        <w:t>日</w:t>
      </w:r>
    </w:p>
    <w:p w14:paraId="0F8EEC59">
      <w:pPr>
        <w:wordWrap w:val="0"/>
        <w:topLinePunct/>
        <w:rPr>
          <w:rFonts w:ascii="Times New Roman" w:hAnsi="Times New Roman"/>
          <w:sz w:val="18"/>
        </w:rPr>
      </w:pPr>
    </w:p>
    <w:p w14:paraId="3ABEE145">
      <w:pPr>
        <w:widowControl/>
        <w:spacing w:beforeAutospacing="1" w:afterAutospacing="1"/>
        <w:jc w:val="left"/>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p>
    <w:p w14:paraId="338756F5">
      <w:pPr>
        <w:wordWrap w:val="0"/>
        <w:topLinePunct/>
        <w:adjustRightInd w:val="0"/>
        <w:snapToGrid w:val="0"/>
        <w:jc w:val="left"/>
        <w:rPr>
          <w:rFonts w:ascii="黑体" w:hAnsi="黑体" w:eastAsia="黑体" w:cs="黑体"/>
          <w:sz w:val="28"/>
          <w:szCs w:val="28"/>
        </w:rPr>
      </w:pPr>
      <w:r>
        <w:rPr>
          <w:rFonts w:hint="eastAsia" w:ascii="黑体" w:hAnsi="黑体" w:eastAsia="黑体" w:cs="黑体"/>
          <w:sz w:val="28"/>
          <w:szCs w:val="28"/>
        </w:rPr>
        <w:t>附件1</w:t>
      </w:r>
    </w:p>
    <w:p w14:paraId="1B811A7C">
      <w:pPr>
        <w:wordWrap w:val="0"/>
        <w:topLinePunct/>
        <w:adjustRightInd w:val="0"/>
        <w:snapToGrid w:val="0"/>
        <w:jc w:val="center"/>
        <w:rPr>
          <w:rFonts w:ascii="仿宋_GB2312" w:hAnsi="仿宋_GB2312" w:eastAsia="仿宋_GB2312" w:cs="仿宋_GB2312"/>
          <w:sz w:val="32"/>
          <w:szCs w:val="32"/>
        </w:rPr>
      </w:pPr>
      <w:r>
        <w:rPr>
          <w:rFonts w:hint="eastAsia" w:ascii="宋体" w:hAnsi="宋体" w:cs="宋体"/>
          <w:b/>
          <w:bCs/>
          <w:sz w:val="32"/>
          <w:szCs w:val="32"/>
        </w:rPr>
        <w:t>合同廉洁责任书</w:t>
      </w:r>
    </w:p>
    <w:p w14:paraId="654AA16D">
      <w:pPr>
        <w:wordWrap w:val="0"/>
        <w:topLinePunct/>
        <w:adjustRightInd w:val="0"/>
        <w:snapToGrid w:val="0"/>
        <w:ind w:firstLine="560" w:firstLineChars="200"/>
        <w:rPr>
          <w:rFonts w:ascii="仿宋_GB2312" w:hAnsi="仿宋_GB2312" w:eastAsia="仿宋_GB2312" w:cs="仿宋_GB2312"/>
          <w:sz w:val="28"/>
          <w:szCs w:val="28"/>
        </w:rPr>
      </w:pPr>
    </w:p>
    <w:p w14:paraId="2B643164">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甲方：中国对外贸易中心集团有限公司</w:t>
      </w:r>
    </w:p>
    <w:p w14:paraId="5C8C132F">
      <w:pPr>
        <w:wordWrap w:val="0"/>
        <w:topLinePunct/>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乙方： </w:t>
      </w:r>
    </w:p>
    <w:p w14:paraId="68C891A9">
      <w:pPr>
        <w:wordWrap w:val="0"/>
        <w:topLinePunct/>
        <w:adjustRightInd w:val="0"/>
        <w:snapToGrid w:val="0"/>
        <w:ind w:firstLine="560" w:firstLineChars="200"/>
        <w:rPr>
          <w:rFonts w:ascii="仿宋_GB2312" w:hAnsi="仿宋_GB2312" w:eastAsia="仿宋_GB2312" w:cs="仿宋_GB2312"/>
          <w:sz w:val="28"/>
          <w:szCs w:val="28"/>
        </w:rPr>
      </w:pPr>
    </w:p>
    <w:p w14:paraId="01DACA27">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为加强招标采购工作中的廉政建设，规范招标采购过程中合同双方的各项活动，防止违法违纪行为的发生，保护国家、集体和当事人的合法权益，根据国家有关法律法规和中国对外贸易中心《党风廉政建设责任制》的规定，特订立本廉洁责任书。 </w:t>
      </w:r>
    </w:p>
    <w:p w14:paraId="3008CFF3">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第一条 合同双方的责任 </w:t>
      </w:r>
    </w:p>
    <w:p w14:paraId="37D02F32">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（一）应严格遵守国家关于市场准入、项目招标采购和市场活动等有关法律、法规，相关政策，以及廉政建设的各项规定。 </w:t>
      </w:r>
    </w:p>
    <w:p w14:paraId="08B78F35">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（二）严格执行采购项目合同文件，自觉按合同办事。 </w:t>
      </w:r>
    </w:p>
    <w:p w14:paraId="216235DD">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招标采购工作必须坚持公开、公平、公正、诚信、透明的原则（除法律法规另有规定者外），不得损害国家、集体和对方的利益，不得违反招标采购管理等规章制度。合同双方应遵守保密义务原则，对在业务活动中获得的对方的商业信息（包括但不限于客户名单、产品价格、商业发展计划、技术资料、财务资料等）均有保密义务，对该信息的使用仅限于合同所限定的业务活动。</w:t>
      </w:r>
    </w:p>
    <w:p w14:paraId="31615A07">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（四）发现对方在业务活动中有违规、违纪、违法行为的，应及时提醒对方，情节严重的，应向其上级主管部门或纪检监察、司法机关举报。 </w:t>
      </w:r>
    </w:p>
    <w:p w14:paraId="099C7FD4">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第二条 甲方的责任 </w:t>
      </w:r>
    </w:p>
    <w:p w14:paraId="3DA09FB7">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甲方工作人员在招标采购过程的事前、事中、事后应遵守以下规定： </w:t>
      </w:r>
    </w:p>
    <w:p w14:paraId="6649B5FA">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（一）不准向乙方和相关单位索要或接受回扣、礼金、有价证券、贵重物品和好处费、感谢费等。 </w:t>
      </w:r>
    </w:p>
    <w:p w14:paraId="7DDEA3F5">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（二）不准在乙方和相关单位报销任何应由甲方或甲方工作人员个人支付的费用。 </w:t>
      </w:r>
    </w:p>
    <w:p w14:paraId="4A79CBD9">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（三）不准要求、暗示和接受乙方和相关单位为甲方工作人员个人装修住房、婚丧嫁娶、配偶子女的工作安排以及出国（境）、旅游等提供方便。 </w:t>
      </w:r>
    </w:p>
    <w:p w14:paraId="4C396C1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（四）不准参加有可能影响公正执行公务的乙方和相关单位的宴请和健身、娱乐等活动。 </w:t>
      </w:r>
    </w:p>
    <w:p w14:paraId="2B61D297">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（五）不准介绍配偶、子女、亲属参与同采购项目合同有关的设备、材料、工程分包、劳务等经济活动。不得以任何理由向乙方和相关单位推荐分包单位和要求乙方购买采购项目合同规定以外的材料、设备等。 </w:t>
      </w:r>
    </w:p>
    <w:p w14:paraId="6DF789B7">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第三条 乙方的责任 </w:t>
      </w:r>
    </w:p>
    <w:p w14:paraId="5368CDF5">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应与甲方保持正常的业务交往，按照国家有关要求和程序开展业务工作，严格执行国家招标采购的有关法律、法规，尤其是工程建设有关建筑施工安装的强制性标准和规范，并遵守以下规定： </w:t>
      </w:r>
    </w:p>
    <w:p w14:paraId="57DAFCC2">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（一）不准以任何理由向甲方及其工作人员索要、接受或赠送礼金、有价证券、贵重物品和回扣、好处费、感谢费等。 </w:t>
      </w:r>
    </w:p>
    <w:p w14:paraId="016BDBC7">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（二）不准以任何理由为甲方和相关单位报销应由对方或其工作人员个人支付的费用。 </w:t>
      </w:r>
    </w:p>
    <w:p w14:paraId="069E5740">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（三）不准接受或暗示为甲方、相关单位或个人装修住房、婚丧嫁娶、配偶子女的工作安排以及出国（境）、旅游等提供方便。 </w:t>
      </w:r>
    </w:p>
    <w:p w14:paraId="72C402C4">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（四）不准以任何理由为甲方、相关单位或个人组织有可能影响公正执行公务的宴请、健身、娱乐等活动。 </w:t>
      </w:r>
    </w:p>
    <w:p w14:paraId="1D692F55">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第四条 违约责任 </w:t>
      </w:r>
    </w:p>
    <w:p w14:paraId="543770C7">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（一）甲方工作人员有违反本责任书第一、二条责任行为的，按照管理权限，依据有关法律法规和规定由甲方给予党纪、政纪处分或组织处理；涉嫌犯罪的，移交司法机关追究刑事责任。 </w:t>
      </w:r>
    </w:p>
    <w:p w14:paraId="72A78357">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二）乙方工作人员有违反本责任书第一、三条责任行为的，按照管理权限，依据有关法律法规和规定由乙方给予党纪、政纪处分或组织处理；涉嫌犯罪的，移交司法机关追究刑事责任；甲方将乙方列入甲方的“供应商黑名单”，并视情节严重程度，分别给予取消其1-3年直至永久取消参加甲方采购项目的竞投资格；乙方已经获取中选资格的，则立即取消其资格；由于上述原因给甲方造成经济损失的，乙方应赔偿甲方的全部损失。 </w:t>
      </w:r>
    </w:p>
    <w:p w14:paraId="5A984D54">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第五条 本责任书中的“甲方”指的是合同中的采购方、买受人、发包人、委托方、建设单位；“乙方”指的是合同中的供应方、出卖人、承包人、受托方、施工单位。</w:t>
      </w:r>
    </w:p>
    <w:p w14:paraId="752E8190">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第六条 本责任书作为消防系统维保合同的附件，与该合同具有同等法律效力，随改合同的生效对双方产生效力。 </w:t>
      </w:r>
    </w:p>
    <w:p w14:paraId="516ACABF">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第七条 本责任书份数与消防系统维保合同份数一致。</w:t>
      </w:r>
    </w:p>
    <w:p w14:paraId="0CA8CF92">
      <w:pPr>
        <w:widowControl/>
        <w:spacing w:beforeAutospacing="1" w:afterAutospacing="1"/>
        <w:jc w:val="left"/>
        <w:rPr>
          <w:rFonts w:ascii="仿宋_GB2312" w:hAnsi="仿宋_GB2312" w:eastAsia="仿宋_GB2312" w:cs="仿宋_GB2312"/>
          <w:sz w:val="28"/>
          <w:szCs w:val="28"/>
        </w:rPr>
        <w:sectPr>
          <w:pgSz w:w="11906" w:h="16838"/>
          <w:pgMar w:top="1440" w:right="1800" w:bottom="1440" w:left="1800" w:header="851" w:footer="992" w:gutter="0"/>
          <w:cols w:space="720" w:num="1"/>
          <w:docGrid w:type="lines" w:linePitch="312" w:charSpace="0"/>
        </w:sectPr>
      </w:pPr>
    </w:p>
    <w:p w14:paraId="3A47F752">
      <w:pPr>
        <w:pStyle w:val="11"/>
        <w:widowControl w:val="0"/>
        <w:wordWrap w:val="0"/>
        <w:topLinePunct/>
        <w:adjustRightInd w:val="0"/>
        <w:snapToGrid w:val="0"/>
        <w:spacing w:before="0" w:beforeAutospacing="0" w:after="0" w:afterAutospacing="0" w:line="240" w:lineRule="auto"/>
        <w:rPr>
          <w:rFonts w:ascii="黑体" w:hAnsi="黑体" w:eastAsia="黑体" w:cs="仿宋_GB2312"/>
          <w:sz w:val="28"/>
          <w:szCs w:val="28"/>
        </w:rPr>
      </w:pPr>
      <w:r>
        <w:rPr>
          <w:rFonts w:hint="eastAsia" w:ascii="黑体" w:hAnsi="黑体" w:eastAsia="黑体" w:cs="仿宋_GB2312"/>
          <w:sz w:val="28"/>
          <w:szCs w:val="28"/>
        </w:rPr>
        <w:t>附件2</w:t>
      </w:r>
    </w:p>
    <w:p w14:paraId="21170AFA">
      <w:pPr>
        <w:pStyle w:val="11"/>
        <w:widowControl w:val="0"/>
        <w:wordWrap w:val="0"/>
        <w:topLinePunct/>
        <w:adjustRightInd w:val="0"/>
        <w:snapToGrid w:val="0"/>
        <w:spacing w:before="0" w:beforeAutospacing="0" w:after="0" w:afterAutospacing="0" w:line="240" w:lineRule="auto"/>
        <w:jc w:val="center"/>
        <w:rPr>
          <w:rFonts w:cs="宋体"/>
          <w:b/>
          <w:sz w:val="32"/>
          <w:szCs w:val="32"/>
        </w:rPr>
      </w:pPr>
      <w:r>
        <w:rPr>
          <w:rFonts w:hint="eastAsia" w:cs="宋体"/>
          <w:b/>
          <w:sz w:val="32"/>
          <w:szCs w:val="32"/>
        </w:rPr>
        <w:t>安全生产责任书</w:t>
      </w:r>
    </w:p>
    <w:p w14:paraId="5EE0CC5F">
      <w:pPr>
        <w:pStyle w:val="11"/>
        <w:widowControl w:val="0"/>
        <w:wordWrap w:val="0"/>
        <w:topLinePunct/>
        <w:adjustRightInd w:val="0"/>
        <w:snapToGrid w:val="0"/>
        <w:spacing w:before="0" w:beforeAutospacing="0" w:after="0" w:afterAutospacing="0" w:line="240" w:lineRule="auto"/>
        <w:rPr>
          <w:rFonts w:ascii="仿宋_GB2312" w:hAnsi="仿宋_GB2312" w:eastAsia="仿宋_GB2312" w:cs="仿宋_GB2312"/>
          <w:sz w:val="28"/>
          <w:szCs w:val="28"/>
        </w:rPr>
      </w:pPr>
    </w:p>
    <w:p w14:paraId="0B29FCBE">
      <w:pPr>
        <w:pStyle w:val="11"/>
        <w:widowControl w:val="0"/>
        <w:wordWrap w:val="0"/>
        <w:topLinePunct/>
        <w:adjustRightInd w:val="0"/>
        <w:snapToGrid w:val="0"/>
        <w:spacing w:before="0" w:beforeAutospacing="0" w:after="0" w:afterAutospacing="0" w:line="24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甲方：中国对外贸易中心集团有限公司</w:t>
      </w:r>
    </w:p>
    <w:p w14:paraId="480C6BFC">
      <w:pPr>
        <w:pStyle w:val="11"/>
        <w:widowControl w:val="0"/>
        <w:wordWrap w:val="0"/>
        <w:topLinePunct/>
        <w:adjustRightInd w:val="0"/>
        <w:snapToGrid w:val="0"/>
        <w:spacing w:before="0" w:beforeAutospacing="0" w:after="0" w:afterAutospacing="0" w:line="24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乙方：</w:t>
      </w:r>
    </w:p>
    <w:p w14:paraId="1AE88E74">
      <w:pPr>
        <w:pStyle w:val="11"/>
        <w:widowControl w:val="0"/>
        <w:wordWrap w:val="0"/>
        <w:topLinePunct/>
        <w:adjustRightInd w:val="0"/>
        <w:snapToGrid w:val="0"/>
        <w:spacing w:before="0" w:beforeAutospacing="0" w:after="0" w:afterAutospacing="0" w:line="240" w:lineRule="auto"/>
        <w:rPr>
          <w:rFonts w:ascii="仿宋_GB2312" w:hAnsi="仿宋_GB2312" w:eastAsia="仿宋_GB2312" w:cs="仿宋_GB2312"/>
          <w:sz w:val="28"/>
          <w:szCs w:val="28"/>
        </w:rPr>
      </w:pPr>
    </w:p>
    <w:p w14:paraId="1E6D5FAD">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贯彻遵守《中华人民共和国安全生产法》等相关法律法规规定以及国家、地方关于安全生产的方针、政策，落实安全生产责任制，加强对生产的安全管理，保障从业人员安全和健康，减少经济损失，经甲乙双方平等协商，特签订本责任书。</w:t>
      </w:r>
    </w:p>
    <w:p w14:paraId="45B1AF96">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第一条 本责任书作为甲方与乙方签订的《</w:t>
      </w:r>
      <w:r>
        <w:rPr>
          <w:rFonts w:hint="eastAsia" w:ascii="仿宋_GB2312" w:hAnsi="仿宋_GB2312" w:eastAsia="仿宋_GB2312" w:cs="仿宋_GB2312"/>
          <w:sz w:val="28"/>
          <w:szCs w:val="28"/>
          <w:u w:val="single"/>
        </w:rPr>
        <w:t>站前横路32号青年员工周转房消防系统维修维保合同</w:t>
      </w:r>
      <w:r>
        <w:rPr>
          <w:rFonts w:hint="eastAsia" w:ascii="仿宋_GB2312" w:hAnsi="仿宋_GB2312" w:eastAsia="仿宋_GB2312" w:cs="仿宋_GB2312"/>
          <w:sz w:val="28"/>
          <w:szCs w:val="28"/>
        </w:rPr>
        <w:t>》（合同号：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，以下简称基础合同）的附件，与基础合同具有同等的法律效力，随基础合同的生效对双方产生效力。</w:t>
      </w:r>
    </w:p>
    <w:p w14:paraId="6B2A9CF5">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第二条 资质审查及报备</w:t>
      </w:r>
    </w:p>
    <w:p w14:paraId="62C97DC6">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乙方承诺具备《中华人民共和国安全生产法》和有关法律、行政法规和国家标准以及行业标准规定的安全生产条件，具备健全的安全生产规章制度和操作规程，于近年内未发生过重大安全事故。乙方必须为其员工购买社会保险（包含养老、医疗、失业、工伤、生育）。</w:t>
      </w:r>
    </w:p>
    <w:p w14:paraId="7608C482">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（二）对于列入国家和基础合同工程所在地地方规定的特种作业范围的项目，乙方应提交相关的特种作业资质或资格证书原件供甲方查验，并提交复印件供甲方存档，所提供的资料必须真实、有效。</w:t>
      </w:r>
    </w:p>
    <w:p w14:paraId="759D4E8E">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第三条 组织架构和职责</w:t>
      </w:r>
    </w:p>
    <w:p w14:paraId="543607EE">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乙方应设置安全生产管理机构，建立和健全安全生产规章制度、应急预案及处理流程。乙方单位负责人为基础合同的安全生产第一责任人，负责乙方人员的安全教育，负责项目实施期间的安全生产和安全保卫工作。</w:t>
      </w:r>
    </w:p>
    <w:p w14:paraId="12551A65">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针对具体项目的实施，乙方必须指定项目负责人，便于施工过程中的协调、联系；必须配备安全生产管理人员，对安全生产状况进行经常性检查，督促、检查从业人员对各项管理制度与安全操作规程的落实，并将检查及处理情况记录在案。</w:t>
      </w:r>
    </w:p>
    <w:p w14:paraId="3E0E7B71">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第四条 安全教育</w:t>
      </w:r>
    </w:p>
    <w:p w14:paraId="216AD32D">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在项目开展前，乙方必须制定书面安全操作规程。</w:t>
      </w:r>
    </w:p>
    <w:p w14:paraId="5CD81D74">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派遣和调整作业人员之前，乙方必须对上述人员进行安全生产教育培训，如实告知作业场所和工作岗位存在的危险因素、防范措施以及事故应急措施等，保证所有作业人员具备必要的安全生产知识，熟悉有关安全生产规章制度和安全操作规程，掌握本岗位的安全操作技能等安全内容。</w:t>
      </w:r>
    </w:p>
    <w:p w14:paraId="106DEDE7">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乙方应为作业人员配备安全防护用具和服装，应向作业人员告知危险岗位的操作规程和违章操作的危害。特种作业人员必须按照国家和地方有关规定经专门的安全作业培训，取得相应的特种作业操作资格证书，并参加乙方组织的教育培训。</w:t>
      </w:r>
    </w:p>
    <w:p w14:paraId="2D4F53B7">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第五条 安全生产措施</w:t>
      </w:r>
    </w:p>
    <w:p w14:paraId="3E5F4BC3">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乙方必须遵守国家、行业有关安全生产管理规定，严格按安全标准组织项目有关工作。乙方必须严格按照安全防护和文明施工的规定组织施工，采取必要的劳动安全防护措施，消除事故隐患，随时接受国家、行业及监理单位实施的监督检查。</w:t>
      </w:r>
    </w:p>
    <w:p w14:paraId="1AA4B1DC">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（二）乙方应在施工组织项目设计、施工、维护方案中编制有关质量、安全及文明生产保证措施，完善安全防护和文明施工条件，服从甲方及监理单位的审查和监督。</w:t>
      </w:r>
    </w:p>
    <w:p w14:paraId="62A525B6">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（三）乙方应严格遵守甲方所制定的业务开展过程（进场、现场、退场）安全规范，根据业务需求分配相应工作场所，并严格遵守该场所安全规则。</w:t>
      </w:r>
    </w:p>
    <w:p w14:paraId="71C6FFB2">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（四）乙方应采取各种合理的预防措施，防止工程实施受非安全因素干扰（包括但不限于非法和打斗等不良行为），确保现场安全、施工质量和保护现场及邻近人员的生命、财产安全。</w:t>
      </w:r>
    </w:p>
    <w:p w14:paraId="7D812158">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（五）乙方应严格遵守甲方关于机房、中控、消防等安全管理的规定；在不影响甲方安全生产运行的前提下，甲方尽可能为乙方提供便利条件和协助服务。</w:t>
      </w:r>
    </w:p>
    <w:p w14:paraId="7A31D95E">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（六）从业人员必须佩带施工证、根据不同场所的要求佩戴安全防护用品作业，特种作业人员（包括但不限于焊工、电工等）必须持证方可上岗。</w:t>
      </w:r>
    </w:p>
    <w:p w14:paraId="61367F1E">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（七）乙方应建立、健全每天的工作日志，包括施工时间、地点、施工内容等。</w:t>
      </w:r>
    </w:p>
    <w:p w14:paraId="5FA01425">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（八）乙方应在施工现场设置安全警示标志，必要时应派专人警戒和看守。</w:t>
      </w:r>
    </w:p>
    <w:p w14:paraId="6F413B10">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（九）作业区域应设置明显安全标志，作业人员应在施工区域内活动，不得随意进入非施工区域；作业人员应劝阻非作业人员进入作业区域。</w:t>
      </w:r>
    </w:p>
    <w:p w14:paraId="0502ECF2">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（十）作业现场应明确重点防火部位和各种消防器材的使用，做好设备及材料的安全管理工作，保持作业现场清洁，对外发生的污染等事故的全部责任应由乙方承担。</w:t>
      </w:r>
    </w:p>
    <w:p w14:paraId="1F05ED43">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第六条 安全事故及费用管理</w:t>
      </w:r>
    </w:p>
    <w:p w14:paraId="427DBA11">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安全生产事故、案件包括但不限于：人员伤亡、</w:t>
      </w:r>
      <w:r>
        <w:rPr>
          <w:rFonts w:hint="eastAsia" w:ascii="仿宋_GB2312" w:hAnsi="仿宋_GB2312" w:eastAsia="仿宋_GB2312" w:cs="仿宋_GB2312"/>
          <w:bCs/>
          <w:sz w:val="28"/>
          <w:szCs w:val="28"/>
        </w:rPr>
        <w:t>财产损失、</w:t>
      </w:r>
      <w:r>
        <w:rPr>
          <w:rFonts w:hint="eastAsia" w:ascii="仿宋_GB2312" w:hAnsi="仿宋_GB2312" w:eastAsia="仿宋_GB2312" w:cs="仿宋_GB2312"/>
          <w:sz w:val="28"/>
          <w:szCs w:val="28"/>
        </w:rPr>
        <w:t>火灾、车辆安全、从业人员犯罪、治安刑事案件等。</w:t>
      </w:r>
    </w:p>
    <w:p w14:paraId="463281A4">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乙方应对作业过程中的安全负责，包括人身安全、设备安全和网络安全。乙方必须认真做好防止发生安全生产事故和案件的预防工作。由于乙方的工作人员导致发生的安全生产事故或案件，均由乙方承担全部责任。</w:t>
      </w:r>
    </w:p>
    <w:p w14:paraId="16F44363">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发生安全事故后，乙方应当按应急事件处理流程，采取紧急措施组织抢修、恢复生产，并在15分钟内电话告知甲方，同时按政府有关部门要求处理，主动配合事故调查处理。</w:t>
      </w:r>
    </w:p>
    <w:p w14:paraId="2C024E99">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乙方应遵守《企业安全生产费用提取和使用管理办法》（财企〔2012〕16号）的规定。</w:t>
      </w:r>
    </w:p>
    <w:p w14:paraId="71107DBC">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若乙方在基础合同作业过程中发生安全生产事故，甲方有权根据国家有关事故的定性标准，在不违反招标投标法律法规前提下，在合同款中扣罚乙方的违约金，调整乙方服务范围。</w:t>
      </w:r>
    </w:p>
    <w:p w14:paraId="6C7E8576">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第七条 本责任书的有效期与基础合同相同。</w:t>
      </w:r>
    </w:p>
    <w:p w14:paraId="781F8047">
      <w:pPr>
        <w:pStyle w:val="11"/>
        <w:widowControl w:val="0"/>
        <w:wordWrap w:val="0"/>
        <w:topLinePunct/>
        <w:adjustRightInd w:val="0"/>
        <w:snapToGrid w:val="0"/>
        <w:spacing w:before="0" w:beforeAutospacing="0" w:after="0" w:afterAutospacing="0" w:line="24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第八条 本责任书未尽事宜，双方本着友好协商原则处理。甲方、乙方对事故责任有争议时，应按政府有关部门的责任认定协商处理。如果不能协商达成一致，任何一方可向甲方住所地的人民法院提起诉讼解决。</w:t>
      </w:r>
    </w:p>
    <w:p w14:paraId="49F816E3">
      <w:pPr>
        <w:wordWrap w:val="0"/>
        <w:topLinePunct/>
        <w:adjustRightInd w:val="0"/>
        <w:snapToGri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第九条 本责任书份数与基础合同文本份数一致。</w:t>
      </w:r>
    </w:p>
    <w:p w14:paraId="69AA47B7">
      <w:pPr>
        <w:rPr>
          <w:rFonts w:ascii="仿宋_GB2312" w:hAnsi="仿宋_GB2312" w:eastAsia="仿宋_GB2312" w:cs="仿宋_GB2312"/>
          <w:sz w:val="28"/>
          <w:szCs w:val="28"/>
        </w:rPr>
      </w:pPr>
    </w:p>
    <w:p w14:paraId="00B68743">
      <w:pPr>
        <w:rPr>
          <w:rFonts w:ascii="仿宋_GB2312" w:hAnsi="仿宋_GB2312" w:eastAsia="仿宋_GB2312" w:cs="仿宋_GB2312"/>
          <w:sz w:val="28"/>
          <w:szCs w:val="28"/>
        </w:rPr>
      </w:pPr>
    </w:p>
    <w:p w14:paraId="44578E8B">
      <w:pPr>
        <w:rPr>
          <w:rFonts w:ascii="仿宋_GB2312" w:hAnsi="仿宋_GB2312" w:eastAsia="仿宋_GB2312" w:cs="仿宋_GB2312"/>
          <w:sz w:val="28"/>
          <w:szCs w:val="28"/>
        </w:rPr>
      </w:pPr>
    </w:p>
    <w:p w14:paraId="138760B6">
      <w:pPr>
        <w:tabs>
          <w:tab w:val="left" w:pos="3248"/>
        </w:tabs>
        <w:rPr>
          <w:rFonts w:ascii="仿宋_GB2312" w:hAnsi="仿宋_GB2312" w:eastAsia="仿宋_GB2312" w:cs="仿宋_GB2312"/>
          <w:sz w:val="28"/>
          <w:szCs w:val="28"/>
        </w:rPr>
      </w:pPr>
      <w:r>
        <w:rPr>
          <w:rFonts w:hint="eastAsia" w:ascii="仿宋_GB2312" w:hAnsi="仿宋_GB2312" w:eastAsia="仿宋_GB2312" w:cs="仿宋_GB2312"/>
          <w:sz w:val="28"/>
          <w:szCs w:val="28"/>
        </w:rPr>
        <w:tab/>
      </w:r>
    </w:p>
    <w:p w14:paraId="2199C394">
      <w:pPr>
        <w:rPr>
          <w:rFonts w:ascii="仿宋_GB2312" w:hAnsi="仿宋_GB2312" w:eastAsia="仿宋_GB2312" w:cs="仿宋_GB2312"/>
          <w:sz w:val="28"/>
          <w:szCs w:val="28"/>
        </w:rPr>
      </w:pPr>
    </w:p>
    <w:p w14:paraId="426B62D6">
      <w:pPr>
        <w:widowControl/>
        <w:spacing w:beforeAutospacing="1" w:afterAutospacing="1"/>
        <w:jc w:val="left"/>
        <w:rPr>
          <w:rFonts w:ascii="仿宋_GB2312" w:hAnsi="仿宋_GB2312" w:eastAsia="仿宋_GB2312" w:cs="仿宋_GB2312"/>
          <w:sz w:val="28"/>
          <w:szCs w:val="28"/>
        </w:rPr>
        <w:sectPr>
          <w:pgSz w:w="11906" w:h="16838"/>
          <w:pgMar w:top="1440" w:right="1800" w:bottom="1440" w:left="1800" w:header="851" w:footer="992" w:gutter="0"/>
          <w:cols w:space="720" w:num="1"/>
          <w:docGrid w:type="lines" w:linePitch="312" w:charSpace="0"/>
        </w:sectPr>
      </w:pPr>
    </w:p>
    <w:p w14:paraId="2FF1299C">
      <w:pPr>
        <w:wordWrap w:val="0"/>
        <w:topLinePunct/>
        <w:adjustRightInd w:val="0"/>
        <w:snapToGrid w:val="0"/>
        <w:jc w:val="left"/>
        <w:rPr>
          <w:rFonts w:ascii="黑体" w:hAnsi="黑体" w:eastAsia="黑体" w:cs="仿宋_GB2312"/>
          <w:bCs/>
          <w:szCs w:val="21"/>
        </w:rPr>
      </w:pPr>
      <w:r>
        <w:rPr>
          <w:rFonts w:hint="eastAsia" w:ascii="黑体" w:hAnsi="黑体" w:eastAsia="黑体" w:cs="仿宋_GB2312"/>
          <w:bCs/>
          <w:sz w:val="28"/>
          <w:szCs w:val="28"/>
        </w:rPr>
        <w:t>附件3</w:t>
      </w:r>
    </w:p>
    <w:p w14:paraId="5483D9BC">
      <w:pPr>
        <w:wordWrap w:val="0"/>
        <w:topLinePunct/>
        <w:snapToGrid w:val="0"/>
        <w:jc w:val="center"/>
        <w:rPr>
          <w:rFonts w:ascii="宋体" w:hAnsi="宋体"/>
          <w:b/>
          <w:sz w:val="28"/>
          <w:szCs w:val="28"/>
        </w:rPr>
      </w:pPr>
      <w:r>
        <w:rPr>
          <w:rFonts w:hint="eastAsia" w:ascii="宋体" w:hAnsi="宋体"/>
          <w:b/>
          <w:sz w:val="28"/>
          <w:szCs w:val="28"/>
        </w:rPr>
        <w:t>消防维保公司管理评审报告</w:t>
      </w:r>
    </w:p>
    <w:tbl>
      <w:tblPr>
        <w:tblStyle w:val="13"/>
        <w:tblW w:w="9045"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755"/>
        <w:gridCol w:w="1940"/>
        <w:gridCol w:w="730"/>
        <w:gridCol w:w="506"/>
        <w:gridCol w:w="480"/>
        <w:gridCol w:w="1114"/>
        <w:gridCol w:w="1427"/>
      </w:tblGrid>
      <w:tr w14:paraId="4FFC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tcPr>
          <w:p w14:paraId="56C69159">
            <w:pPr>
              <w:wordWrap w:val="0"/>
              <w:topLinePunct/>
              <w:jc w:val="center"/>
              <w:rPr>
                <w:b/>
                <w:szCs w:val="21"/>
              </w:rPr>
            </w:pPr>
            <w:r>
              <w:rPr>
                <w:rFonts w:hint="eastAsia"/>
                <w:b/>
                <w:szCs w:val="21"/>
              </w:rPr>
              <w:t>项目</w:t>
            </w:r>
          </w:p>
        </w:tc>
        <w:tc>
          <w:tcPr>
            <w:tcW w:w="3696" w:type="dxa"/>
            <w:gridSpan w:val="2"/>
            <w:tcBorders>
              <w:top w:val="single" w:color="auto" w:sz="4" w:space="0"/>
              <w:left w:val="single" w:color="auto" w:sz="4" w:space="0"/>
              <w:bottom w:val="single" w:color="auto" w:sz="4" w:space="0"/>
              <w:right w:val="single" w:color="auto" w:sz="4" w:space="0"/>
            </w:tcBorders>
          </w:tcPr>
          <w:p w14:paraId="2033A501">
            <w:pPr>
              <w:wordWrap w:val="0"/>
              <w:topLinePunct/>
              <w:jc w:val="center"/>
              <w:rPr>
                <w:szCs w:val="21"/>
              </w:rPr>
            </w:pPr>
          </w:p>
        </w:tc>
        <w:tc>
          <w:tcPr>
            <w:tcW w:w="730" w:type="dxa"/>
            <w:tcBorders>
              <w:top w:val="single" w:color="auto" w:sz="4" w:space="0"/>
              <w:left w:val="single" w:color="auto" w:sz="4" w:space="0"/>
              <w:bottom w:val="single" w:color="auto" w:sz="4" w:space="0"/>
              <w:right w:val="single" w:color="auto" w:sz="4" w:space="0"/>
            </w:tcBorders>
          </w:tcPr>
          <w:p w14:paraId="5F904B2D">
            <w:pPr>
              <w:wordWrap w:val="0"/>
              <w:topLinePunct/>
              <w:jc w:val="center"/>
              <w:rPr>
                <w:b/>
                <w:szCs w:val="21"/>
              </w:rPr>
            </w:pPr>
            <w:r>
              <w:rPr>
                <w:rFonts w:hint="eastAsia"/>
                <w:b/>
                <w:szCs w:val="21"/>
              </w:rPr>
              <w:t>时间</w:t>
            </w:r>
          </w:p>
        </w:tc>
        <w:tc>
          <w:tcPr>
            <w:tcW w:w="3527" w:type="dxa"/>
            <w:gridSpan w:val="4"/>
            <w:tcBorders>
              <w:top w:val="single" w:color="auto" w:sz="4" w:space="0"/>
              <w:left w:val="single" w:color="auto" w:sz="4" w:space="0"/>
              <w:bottom w:val="single" w:color="auto" w:sz="4" w:space="0"/>
              <w:right w:val="single" w:color="auto" w:sz="4" w:space="0"/>
            </w:tcBorders>
          </w:tcPr>
          <w:p w14:paraId="589732C6">
            <w:pPr>
              <w:wordWrap w:val="0"/>
              <w:topLinePunct/>
              <w:jc w:val="center"/>
              <w:rPr>
                <w:szCs w:val="21"/>
              </w:rPr>
            </w:pPr>
          </w:p>
        </w:tc>
      </w:tr>
      <w:tr w14:paraId="282C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tcPr>
          <w:p w14:paraId="09FDB5C2">
            <w:pPr>
              <w:wordWrap w:val="0"/>
              <w:topLinePunct/>
              <w:rPr>
                <w:b/>
                <w:szCs w:val="21"/>
              </w:rPr>
            </w:pPr>
            <w:r>
              <w:rPr>
                <w:rFonts w:hint="eastAsia"/>
                <w:b/>
                <w:szCs w:val="21"/>
              </w:rPr>
              <w:t>评审目的</w:t>
            </w:r>
          </w:p>
        </w:tc>
        <w:tc>
          <w:tcPr>
            <w:tcW w:w="7953" w:type="dxa"/>
            <w:gridSpan w:val="7"/>
            <w:tcBorders>
              <w:top w:val="single" w:color="auto" w:sz="4" w:space="0"/>
              <w:left w:val="single" w:color="auto" w:sz="4" w:space="0"/>
              <w:bottom w:val="single" w:color="auto" w:sz="4" w:space="0"/>
              <w:right w:val="single" w:color="auto" w:sz="4" w:space="0"/>
            </w:tcBorders>
          </w:tcPr>
          <w:p w14:paraId="4F232FB0">
            <w:pPr>
              <w:wordWrap w:val="0"/>
              <w:topLinePunct/>
              <w:rPr>
                <w:b/>
                <w:szCs w:val="21"/>
              </w:rPr>
            </w:pPr>
            <w:r>
              <w:rPr>
                <w:rFonts w:hint="eastAsia"/>
                <w:szCs w:val="21"/>
              </w:rPr>
              <w:t>评审消防维保公司对消防系统及其设备设施进行保养维护服务工作的高效性、充分性、有效性进行系统评价。确保维护保养服务持续有效运行，并督促其不断完善和改进工作，达到质量目标和要求，以满足</w:t>
            </w:r>
            <w:r>
              <w:rPr>
                <w:szCs w:val="21"/>
              </w:rPr>
              <w:t xml:space="preserve">  </w:t>
            </w:r>
            <w:r>
              <w:rPr>
                <w:rFonts w:hint="eastAsia"/>
                <w:szCs w:val="21"/>
              </w:rPr>
              <w:t>年消防系统维护保养合同及招标文件的要求。</w:t>
            </w:r>
          </w:p>
        </w:tc>
      </w:tr>
      <w:tr w14:paraId="3A77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tcPr>
          <w:p w14:paraId="5179066D">
            <w:pPr>
              <w:wordWrap w:val="0"/>
              <w:topLinePunct/>
              <w:rPr>
                <w:b/>
                <w:szCs w:val="21"/>
              </w:rPr>
            </w:pPr>
            <w:r>
              <w:rPr>
                <w:rFonts w:hint="eastAsia"/>
                <w:b/>
                <w:szCs w:val="21"/>
              </w:rPr>
              <w:t>维保公司</w:t>
            </w:r>
          </w:p>
        </w:tc>
        <w:tc>
          <w:tcPr>
            <w:tcW w:w="7953" w:type="dxa"/>
            <w:gridSpan w:val="7"/>
            <w:tcBorders>
              <w:top w:val="single" w:color="auto" w:sz="4" w:space="0"/>
              <w:left w:val="single" w:color="auto" w:sz="4" w:space="0"/>
              <w:bottom w:val="single" w:color="auto" w:sz="4" w:space="0"/>
              <w:right w:val="single" w:color="auto" w:sz="4" w:space="0"/>
            </w:tcBorders>
          </w:tcPr>
          <w:p w14:paraId="17A1C0A7">
            <w:pPr>
              <w:wordWrap w:val="0"/>
              <w:topLinePunct/>
              <w:rPr>
                <w:szCs w:val="21"/>
              </w:rPr>
            </w:pPr>
          </w:p>
        </w:tc>
      </w:tr>
      <w:tr w14:paraId="7F3B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11D6C1A4">
            <w:pPr>
              <w:wordWrap w:val="0"/>
              <w:topLinePunct/>
              <w:jc w:val="center"/>
              <w:rPr>
                <w:b/>
                <w:szCs w:val="21"/>
              </w:rPr>
            </w:pPr>
            <w:r>
              <w:rPr>
                <w:rFonts w:hint="eastAsia" w:ascii="仿宋_GB2312" w:eastAsia="仿宋_GB2312"/>
                <w:sz w:val="20"/>
              </w:rPr>
              <w:t>序号</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0368E519">
            <w:pPr>
              <w:wordWrap w:val="0"/>
              <w:topLinePunct/>
              <w:jc w:val="center"/>
              <w:rPr>
                <w:b/>
                <w:szCs w:val="21"/>
              </w:rPr>
            </w:pPr>
            <w:r>
              <w:rPr>
                <w:rFonts w:hint="eastAsia"/>
                <w:b/>
                <w:szCs w:val="21"/>
              </w:rPr>
              <w:t>评审内容</w:t>
            </w:r>
            <w:r>
              <w:rPr>
                <w:b/>
                <w:szCs w:val="21"/>
              </w:rPr>
              <w:t>(</w:t>
            </w:r>
            <w:r>
              <w:rPr>
                <w:rFonts w:hint="eastAsia"/>
                <w:b/>
                <w:szCs w:val="21"/>
              </w:rPr>
              <w:t>有具体扣分项目填写具体分数</w:t>
            </w:r>
            <w:r>
              <w:rPr>
                <w:b/>
                <w:szCs w:val="21"/>
              </w:rPr>
              <w:t>,</w:t>
            </w:r>
            <w:r>
              <w:rPr>
                <w:rFonts w:hint="eastAsia"/>
                <w:b/>
                <w:szCs w:val="21"/>
              </w:rPr>
              <w:t>无扣分填写无</w:t>
            </w:r>
            <w:r>
              <w:rPr>
                <w:b/>
                <w:szCs w:val="21"/>
              </w:rPr>
              <w:t>)</w:t>
            </w:r>
          </w:p>
        </w:tc>
        <w:tc>
          <w:tcPr>
            <w:tcW w:w="730" w:type="dxa"/>
            <w:tcBorders>
              <w:top w:val="single" w:color="auto" w:sz="4" w:space="0"/>
              <w:left w:val="single" w:color="auto" w:sz="4" w:space="0"/>
              <w:bottom w:val="single" w:color="auto" w:sz="4" w:space="0"/>
              <w:right w:val="single" w:color="auto" w:sz="4" w:space="0"/>
            </w:tcBorders>
            <w:vAlign w:val="center"/>
          </w:tcPr>
          <w:p w14:paraId="259DB4BA">
            <w:pPr>
              <w:wordWrap w:val="0"/>
              <w:topLinePunct/>
              <w:jc w:val="center"/>
              <w:rPr>
                <w:b/>
                <w:szCs w:val="21"/>
              </w:rPr>
            </w:pPr>
            <w:r>
              <w:rPr>
                <w:rFonts w:hint="eastAsia"/>
                <w:b/>
                <w:szCs w:val="21"/>
              </w:rPr>
              <w:t>月</w:t>
            </w:r>
          </w:p>
        </w:tc>
        <w:tc>
          <w:tcPr>
            <w:tcW w:w="506" w:type="dxa"/>
            <w:tcBorders>
              <w:top w:val="single" w:color="auto" w:sz="4" w:space="0"/>
              <w:left w:val="single" w:color="auto" w:sz="4" w:space="0"/>
              <w:bottom w:val="single" w:color="auto" w:sz="4" w:space="0"/>
              <w:right w:val="single" w:color="auto" w:sz="4" w:space="0"/>
            </w:tcBorders>
            <w:vAlign w:val="center"/>
          </w:tcPr>
          <w:p w14:paraId="79ADA95E">
            <w:pPr>
              <w:wordWrap w:val="0"/>
              <w:topLinePunct/>
              <w:jc w:val="center"/>
              <w:rPr>
                <w:b/>
                <w:szCs w:val="21"/>
              </w:rPr>
            </w:pPr>
            <w:r>
              <w:rPr>
                <w:rFonts w:hint="eastAsia"/>
                <w:b/>
                <w:szCs w:val="21"/>
              </w:rPr>
              <w:t>月</w:t>
            </w:r>
          </w:p>
        </w:tc>
        <w:tc>
          <w:tcPr>
            <w:tcW w:w="480" w:type="dxa"/>
            <w:tcBorders>
              <w:top w:val="single" w:color="auto" w:sz="4" w:space="0"/>
              <w:left w:val="single" w:color="auto" w:sz="4" w:space="0"/>
              <w:bottom w:val="single" w:color="auto" w:sz="4" w:space="0"/>
              <w:right w:val="single" w:color="auto" w:sz="4" w:space="0"/>
            </w:tcBorders>
            <w:vAlign w:val="center"/>
          </w:tcPr>
          <w:p w14:paraId="38A0D82F">
            <w:pPr>
              <w:wordWrap w:val="0"/>
              <w:topLinePunct/>
              <w:jc w:val="center"/>
              <w:rPr>
                <w:b/>
                <w:szCs w:val="21"/>
              </w:rPr>
            </w:pPr>
            <w:r>
              <w:rPr>
                <w:rFonts w:hint="eastAsia"/>
                <w:b/>
                <w:szCs w:val="21"/>
              </w:rPr>
              <w:t>月</w:t>
            </w: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506E259C">
            <w:pPr>
              <w:wordWrap w:val="0"/>
              <w:topLinePunct/>
              <w:jc w:val="center"/>
              <w:rPr>
                <w:b/>
                <w:szCs w:val="21"/>
              </w:rPr>
            </w:pPr>
            <w:r>
              <w:rPr>
                <w:rFonts w:hint="eastAsia"/>
                <w:b/>
                <w:szCs w:val="21"/>
              </w:rPr>
              <w:t>扣分项目备注（各项目扣分标准依据各项检查表）</w:t>
            </w:r>
          </w:p>
        </w:tc>
      </w:tr>
      <w:tr w14:paraId="2419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63192BC6">
            <w:pPr>
              <w:wordWrap w:val="0"/>
              <w:topLinePunct/>
              <w:jc w:val="center"/>
              <w:rPr>
                <w:rFonts w:ascii="宋体" w:hAnsi="宋体" w:cs="宋体"/>
                <w:sz w:val="20"/>
              </w:rPr>
            </w:pPr>
            <w:r>
              <w:rPr>
                <w:rFonts w:hint="eastAsia" w:ascii="宋体" w:hAnsi="宋体"/>
                <w:sz w:val="20"/>
              </w:rPr>
              <w:t>1</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3CCF6785">
            <w:pPr>
              <w:wordWrap w:val="0"/>
              <w:topLinePunct/>
              <w:jc w:val="left"/>
              <w:rPr>
                <w:rFonts w:ascii="宋体" w:hAnsi="宋体" w:cs="宋体"/>
                <w:sz w:val="20"/>
              </w:rPr>
            </w:pPr>
            <w:r>
              <w:rPr>
                <w:rFonts w:hint="eastAsia" w:ascii="宋体" w:hAnsi="宋体"/>
                <w:sz w:val="20"/>
              </w:rPr>
              <w:t>自动报警及联动系统维护保养</w:t>
            </w:r>
          </w:p>
        </w:tc>
        <w:tc>
          <w:tcPr>
            <w:tcW w:w="730" w:type="dxa"/>
            <w:tcBorders>
              <w:top w:val="single" w:color="auto" w:sz="4" w:space="0"/>
              <w:left w:val="single" w:color="auto" w:sz="4" w:space="0"/>
              <w:bottom w:val="single" w:color="auto" w:sz="4" w:space="0"/>
              <w:right w:val="single" w:color="auto" w:sz="4" w:space="0"/>
            </w:tcBorders>
            <w:vAlign w:val="center"/>
          </w:tcPr>
          <w:p w14:paraId="1D07268E">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1433E1FA">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6985891D">
            <w:pPr>
              <w:wordWrap w:val="0"/>
              <w:topLinePunct/>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6DD8AE0B">
            <w:pPr>
              <w:wordWrap w:val="0"/>
              <w:topLinePunct/>
              <w:jc w:val="center"/>
              <w:rPr>
                <w:rFonts w:ascii="宋体" w:hAnsi="宋体"/>
                <w:sz w:val="20"/>
              </w:rPr>
            </w:pPr>
          </w:p>
        </w:tc>
      </w:tr>
      <w:tr w14:paraId="677F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25FD9341">
            <w:pPr>
              <w:wordWrap w:val="0"/>
              <w:topLinePunct/>
              <w:jc w:val="center"/>
              <w:rPr>
                <w:rFonts w:ascii="宋体" w:hAnsi="宋体" w:cs="宋体"/>
                <w:sz w:val="20"/>
              </w:rPr>
            </w:pPr>
            <w:r>
              <w:rPr>
                <w:rFonts w:hint="eastAsia" w:ascii="宋体" w:hAnsi="宋体"/>
                <w:sz w:val="20"/>
              </w:rPr>
              <w:t>2</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65529633">
            <w:pPr>
              <w:wordWrap w:val="0"/>
              <w:topLinePunct/>
              <w:jc w:val="left"/>
              <w:rPr>
                <w:rFonts w:ascii="宋体" w:hAnsi="宋体" w:cs="宋体"/>
                <w:sz w:val="20"/>
              </w:rPr>
            </w:pPr>
            <w:r>
              <w:rPr>
                <w:rFonts w:hint="eastAsia" w:ascii="宋体" w:hAnsi="宋体"/>
                <w:sz w:val="20"/>
              </w:rPr>
              <w:t>自自动喷水灭火系统维护保养</w:t>
            </w:r>
          </w:p>
        </w:tc>
        <w:tc>
          <w:tcPr>
            <w:tcW w:w="730" w:type="dxa"/>
            <w:tcBorders>
              <w:top w:val="single" w:color="auto" w:sz="4" w:space="0"/>
              <w:left w:val="single" w:color="auto" w:sz="4" w:space="0"/>
              <w:bottom w:val="single" w:color="auto" w:sz="4" w:space="0"/>
              <w:right w:val="single" w:color="auto" w:sz="4" w:space="0"/>
            </w:tcBorders>
            <w:vAlign w:val="center"/>
          </w:tcPr>
          <w:p w14:paraId="2118F5B8">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447C4BC0">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2D96D6B2">
            <w:pPr>
              <w:wordWrap w:val="0"/>
              <w:topLinePunct/>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037CAB01">
            <w:pPr>
              <w:wordWrap w:val="0"/>
              <w:topLinePunct/>
              <w:jc w:val="center"/>
              <w:rPr>
                <w:rFonts w:ascii="宋体" w:hAnsi="宋体"/>
                <w:szCs w:val="21"/>
              </w:rPr>
            </w:pPr>
          </w:p>
        </w:tc>
      </w:tr>
      <w:tr w14:paraId="1A5C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5D69782D">
            <w:pPr>
              <w:wordWrap w:val="0"/>
              <w:topLinePunct/>
              <w:jc w:val="center"/>
              <w:rPr>
                <w:rFonts w:ascii="宋体" w:hAnsi="宋体" w:cs="宋体"/>
                <w:sz w:val="20"/>
              </w:rPr>
            </w:pPr>
            <w:r>
              <w:rPr>
                <w:rFonts w:hint="eastAsia" w:ascii="宋体" w:hAnsi="宋体"/>
                <w:sz w:val="20"/>
              </w:rPr>
              <w:t>3</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430C7C92">
            <w:pPr>
              <w:wordWrap w:val="0"/>
              <w:topLinePunct/>
              <w:jc w:val="left"/>
              <w:rPr>
                <w:rFonts w:ascii="宋体" w:hAnsi="宋体" w:cs="宋体"/>
                <w:sz w:val="20"/>
              </w:rPr>
            </w:pPr>
            <w:r>
              <w:rPr>
                <w:rFonts w:hint="eastAsia" w:ascii="宋体" w:hAnsi="宋体"/>
                <w:sz w:val="20"/>
              </w:rPr>
              <w:t>消火栓系统维护保养</w:t>
            </w:r>
          </w:p>
        </w:tc>
        <w:tc>
          <w:tcPr>
            <w:tcW w:w="730" w:type="dxa"/>
            <w:tcBorders>
              <w:top w:val="single" w:color="auto" w:sz="4" w:space="0"/>
              <w:left w:val="single" w:color="auto" w:sz="4" w:space="0"/>
              <w:bottom w:val="single" w:color="auto" w:sz="4" w:space="0"/>
              <w:right w:val="single" w:color="auto" w:sz="4" w:space="0"/>
            </w:tcBorders>
            <w:vAlign w:val="center"/>
          </w:tcPr>
          <w:p w14:paraId="11B126D9">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71D2A1AD">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5BE72D6C">
            <w:pPr>
              <w:wordWrap w:val="0"/>
              <w:topLinePunct/>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5876529C">
            <w:pPr>
              <w:wordWrap w:val="0"/>
              <w:topLinePunct/>
              <w:jc w:val="center"/>
              <w:rPr>
                <w:rFonts w:ascii="宋体" w:hAnsi="宋体"/>
                <w:szCs w:val="21"/>
              </w:rPr>
            </w:pPr>
          </w:p>
        </w:tc>
      </w:tr>
      <w:tr w14:paraId="2C83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2B069D57">
            <w:pPr>
              <w:wordWrap w:val="0"/>
              <w:topLinePunct/>
              <w:jc w:val="center"/>
              <w:rPr>
                <w:rFonts w:ascii="宋体" w:hAnsi="宋体" w:cs="宋体"/>
                <w:sz w:val="20"/>
              </w:rPr>
            </w:pPr>
            <w:r>
              <w:rPr>
                <w:rFonts w:hint="eastAsia" w:ascii="宋体" w:hAnsi="宋体"/>
                <w:sz w:val="20"/>
              </w:rPr>
              <w:t>4</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633916AA">
            <w:pPr>
              <w:wordWrap w:val="0"/>
              <w:topLinePunct/>
              <w:jc w:val="left"/>
              <w:rPr>
                <w:rFonts w:ascii="宋体" w:hAnsi="宋体" w:cs="宋体"/>
                <w:sz w:val="20"/>
              </w:rPr>
            </w:pPr>
            <w:r>
              <w:rPr>
                <w:rFonts w:hint="eastAsia" w:ascii="宋体" w:hAnsi="宋体"/>
                <w:sz w:val="20"/>
              </w:rPr>
              <w:t>防排烟系统维护保养</w:t>
            </w:r>
          </w:p>
        </w:tc>
        <w:tc>
          <w:tcPr>
            <w:tcW w:w="730" w:type="dxa"/>
            <w:tcBorders>
              <w:top w:val="single" w:color="auto" w:sz="4" w:space="0"/>
              <w:left w:val="single" w:color="auto" w:sz="4" w:space="0"/>
              <w:bottom w:val="single" w:color="auto" w:sz="4" w:space="0"/>
              <w:right w:val="single" w:color="auto" w:sz="4" w:space="0"/>
            </w:tcBorders>
            <w:vAlign w:val="center"/>
          </w:tcPr>
          <w:p w14:paraId="4CDD2A75">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5B72F3A5">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3FB13D2A">
            <w:pPr>
              <w:wordWrap w:val="0"/>
              <w:topLinePunct/>
              <w:ind w:left="87"/>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2ECB357E">
            <w:pPr>
              <w:wordWrap w:val="0"/>
              <w:topLinePunct/>
              <w:jc w:val="center"/>
              <w:rPr>
                <w:rFonts w:ascii="宋体" w:hAnsi="宋体"/>
                <w:b/>
                <w:szCs w:val="21"/>
              </w:rPr>
            </w:pPr>
          </w:p>
        </w:tc>
      </w:tr>
      <w:tr w14:paraId="1F81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5927E132">
            <w:pPr>
              <w:wordWrap w:val="0"/>
              <w:topLinePunct/>
              <w:jc w:val="center"/>
              <w:rPr>
                <w:rFonts w:ascii="宋体" w:hAnsi="宋体" w:cs="宋体"/>
                <w:sz w:val="20"/>
              </w:rPr>
            </w:pPr>
            <w:r>
              <w:rPr>
                <w:rFonts w:hint="eastAsia" w:ascii="宋体" w:hAnsi="宋体"/>
                <w:sz w:val="20"/>
              </w:rPr>
              <w:t>5</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52F622C6">
            <w:pPr>
              <w:wordWrap w:val="0"/>
              <w:topLinePunct/>
              <w:jc w:val="left"/>
              <w:rPr>
                <w:rFonts w:ascii="宋体" w:hAnsi="宋体" w:cs="宋体"/>
                <w:sz w:val="20"/>
              </w:rPr>
            </w:pPr>
            <w:r>
              <w:rPr>
                <w:rFonts w:hint="eastAsia" w:ascii="宋体" w:hAnsi="宋体"/>
                <w:sz w:val="20"/>
              </w:rPr>
              <w:t>钢质及玻璃防火门维护保养</w:t>
            </w:r>
          </w:p>
        </w:tc>
        <w:tc>
          <w:tcPr>
            <w:tcW w:w="730" w:type="dxa"/>
            <w:tcBorders>
              <w:top w:val="single" w:color="auto" w:sz="4" w:space="0"/>
              <w:left w:val="single" w:color="auto" w:sz="4" w:space="0"/>
              <w:bottom w:val="single" w:color="auto" w:sz="4" w:space="0"/>
              <w:right w:val="single" w:color="auto" w:sz="4" w:space="0"/>
            </w:tcBorders>
            <w:vAlign w:val="center"/>
          </w:tcPr>
          <w:p w14:paraId="5F9CAF41">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1A9A3705">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08ED3171">
            <w:pPr>
              <w:wordWrap w:val="0"/>
              <w:topLinePunct/>
              <w:ind w:left="87"/>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4FDB9079">
            <w:pPr>
              <w:wordWrap w:val="0"/>
              <w:topLinePunct/>
              <w:jc w:val="center"/>
              <w:rPr>
                <w:rFonts w:ascii="宋体" w:hAnsi="宋体"/>
                <w:szCs w:val="21"/>
              </w:rPr>
            </w:pPr>
          </w:p>
        </w:tc>
      </w:tr>
      <w:tr w14:paraId="0FCE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36024A4D">
            <w:pPr>
              <w:wordWrap w:val="0"/>
              <w:topLinePunct/>
              <w:jc w:val="center"/>
              <w:rPr>
                <w:rFonts w:ascii="宋体" w:hAnsi="宋体" w:cs="宋体"/>
                <w:sz w:val="20"/>
              </w:rPr>
            </w:pPr>
            <w:r>
              <w:rPr>
                <w:rFonts w:hint="eastAsia" w:ascii="宋体" w:hAnsi="宋体"/>
                <w:sz w:val="20"/>
              </w:rPr>
              <w:t>6</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4E8A53DC">
            <w:pPr>
              <w:wordWrap w:val="0"/>
              <w:topLinePunct/>
              <w:jc w:val="left"/>
              <w:rPr>
                <w:rFonts w:ascii="宋体" w:hAnsi="宋体" w:cs="宋体"/>
                <w:sz w:val="20"/>
              </w:rPr>
            </w:pPr>
            <w:r>
              <w:rPr>
                <w:rFonts w:hint="eastAsia" w:ascii="宋体" w:hAnsi="宋体"/>
                <w:sz w:val="20"/>
              </w:rPr>
              <w:t>应急疏散指示系统维护保养</w:t>
            </w:r>
          </w:p>
        </w:tc>
        <w:tc>
          <w:tcPr>
            <w:tcW w:w="730" w:type="dxa"/>
            <w:tcBorders>
              <w:top w:val="single" w:color="auto" w:sz="4" w:space="0"/>
              <w:left w:val="single" w:color="auto" w:sz="4" w:space="0"/>
              <w:bottom w:val="single" w:color="auto" w:sz="4" w:space="0"/>
              <w:right w:val="single" w:color="auto" w:sz="4" w:space="0"/>
            </w:tcBorders>
            <w:vAlign w:val="center"/>
          </w:tcPr>
          <w:p w14:paraId="6547493E">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1DB584D7">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18DECE30">
            <w:pPr>
              <w:wordWrap w:val="0"/>
              <w:topLinePunct/>
              <w:ind w:left="87"/>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13F01856">
            <w:pPr>
              <w:wordWrap w:val="0"/>
              <w:topLinePunct/>
              <w:jc w:val="center"/>
              <w:rPr>
                <w:rFonts w:ascii="宋体" w:hAnsi="宋体"/>
                <w:szCs w:val="21"/>
              </w:rPr>
            </w:pPr>
          </w:p>
        </w:tc>
      </w:tr>
      <w:tr w14:paraId="5305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68F49A79">
            <w:pPr>
              <w:wordWrap w:val="0"/>
              <w:topLinePunct/>
              <w:jc w:val="center"/>
              <w:rPr>
                <w:rFonts w:ascii="宋体" w:hAnsi="宋体" w:cs="宋体"/>
                <w:sz w:val="20"/>
              </w:rPr>
            </w:pPr>
            <w:r>
              <w:rPr>
                <w:rFonts w:hint="eastAsia" w:ascii="宋体" w:hAnsi="宋体"/>
                <w:sz w:val="20"/>
              </w:rPr>
              <w:t>7</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4AE2E0EE">
            <w:pPr>
              <w:wordWrap w:val="0"/>
              <w:topLinePunct/>
              <w:jc w:val="left"/>
              <w:rPr>
                <w:rFonts w:ascii="宋体" w:hAnsi="宋体" w:cs="宋体"/>
                <w:sz w:val="20"/>
              </w:rPr>
            </w:pPr>
            <w:r>
              <w:rPr>
                <w:rFonts w:hint="eastAsia" w:ascii="宋体" w:hAnsi="宋体"/>
                <w:sz w:val="20"/>
              </w:rPr>
              <w:t>乙方没有做到每月10日前，将上月的维保情况、故障维修情况及系统运行评估情况形成文字材料上报监管部门。</w:t>
            </w:r>
          </w:p>
        </w:tc>
        <w:tc>
          <w:tcPr>
            <w:tcW w:w="730" w:type="dxa"/>
            <w:tcBorders>
              <w:top w:val="single" w:color="auto" w:sz="4" w:space="0"/>
              <w:left w:val="single" w:color="auto" w:sz="4" w:space="0"/>
              <w:bottom w:val="single" w:color="auto" w:sz="4" w:space="0"/>
              <w:right w:val="single" w:color="auto" w:sz="4" w:space="0"/>
            </w:tcBorders>
            <w:vAlign w:val="center"/>
          </w:tcPr>
          <w:p w14:paraId="2705EA53">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5A96CBC9">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46B842BF">
            <w:pPr>
              <w:wordWrap w:val="0"/>
              <w:topLinePunct/>
              <w:ind w:left="87"/>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482C01AC">
            <w:pPr>
              <w:wordWrap w:val="0"/>
              <w:topLinePunct/>
              <w:jc w:val="center"/>
              <w:rPr>
                <w:rFonts w:ascii="宋体" w:hAnsi="宋体"/>
                <w:sz w:val="20"/>
              </w:rPr>
            </w:pPr>
          </w:p>
        </w:tc>
      </w:tr>
      <w:tr w14:paraId="4C2D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2B4BD870">
            <w:pPr>
              <w:wordWrap w:val="0"/>
              <w:topLinePunct/>
              <w:jc w:val="center"/>
              <w:rPr>
                <w:rFonts w:ascii="宋体" w:hAnsi="宋体" w:cs="宋体"/>
                <w:sz w:val="20"/>
              </w:rPr>
            </w:pPr>
            <w:r>
              <w:rPr>
                <w:rFonts w:hint="eastAsia" w:ascii="宋体" w:hAnsi="宋体"/>
                <w:sz w:val="20"/>
              </w:rPr>
              <w:t>8</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4AED6035">
            <w:pPr>
              <w:wordWrap w:val="0"/>
              <w:topLinePunct/>
              <w:jc w:val="left"/>
              <w:rPr>
                <w:rFonts w:ascii="宋体" w:hAnsi="宋体" w:cs="宋体"/>
                <w:sz w:val="20"/>
              </w:rPr>
            </w:pPr>
            <w:r>
              <w:rPr>
                <w:rFonts w:hint="eastAsia" w:ascii="宋体" w:hAnsi="宋体"/>
                <w:sz w:val="20"/>
              </w:rPr>
              <w:t>乙方提供的维保服务质量不符合国家相关规范及本合同约定标准，经甲方监管部门通知，乙方收到通知后的三日内该问题仍未整改。</w:t>
            </w:r>
          </w:p>
        </w:tc>
        <w:tc>
          <w:tcPr>
            <w:tcW w:w="730" w:type="dxa"/>
            <w:tcBorders>
              <w:top w:val="single" w:color="auto" w:sz="4" w:space="0"/>
              <w:left w:val="single" w:color="auto" w:sz="4" w:space="0"/>
              <w:bottom w:val="single" w:color="auto" w:sz="4" w:space="0"/>
              <w:right w:val="single" w:color="auto" w:sz="4" w:space="0"/>
            </w:tcBorders>
            <w:vAlign w:val="center"/>
          </w:tcPr>
          <w:p w14:paraId="2C3DC2E4">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47B82E75">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2725A7F4">
            <w:pPr>
              <w:wordWrap w:val="0"/>
              <w:topLinePunct/>
              <w:ind w:left="87"/>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0A379B00">
            <w:pPr>
              <w:wordWrap w:val="0"/>
              <w:topLinePunct/>
              <w:jc w:val="center"/>
              <w:rPr>
                <w:rFonts w:ascii="宋体" w:hAnsi="宋体"/>
                <w:szCs w:val="21"/>
              </w:rPr>
            </w:pPr>
          </w:p>
        </w:tc>
      </w:tr>
      <w:tr w14:paraId="51F6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0FDBD0E5">
            <w:pPr>
              <w:wordWrap w:val="0"/>
              <w:topLinePunct/>
              <w:jc w:val="center"/>
              <w:rPr>
                <w:rFonts w:ascii="宋体" w:hAnsi="宋体" w:cs="宋体"/>
                <w:sz w:val="20"/>
              </w:rPr>
            </w:pPr>
            <w:r>
              <w:rPr>
                <w:rFonts w:hint="eastAsia" w:ascii="宋体" w:hAnsi="宋体"/>
                <w:sz w:val="20"/>
              </w:rPr>
              <w:t>9</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25C21771">
            <w:pPr>
              <w:wordWrap w:val="0"/>
              <w:topLinePunct/>
              <w:jc w:val="left"/>
              <w:rPr>
                <w:rFonts w:ascii="宋体" w:hAnsi="宋体" w:cs="宋体"/>
                <w:sz w:val="20"/>
              </w:rPr>
            </w:pPr>
            <w:r>
              <w:rPr>
                <w:rFonts w:hint="eastAsia" w:ascii="宋体" w:hAnsi="宋体"/>
                <w:sz w:val="20"/>
              </w:rPr>
              <w:t>因乙方原因造成消防检查不合格的。</w:t>
            </w:r>
          </w:p>
        </w:tc>
        <w:tc>
          <w:tcPr>
            <w:tcW w:w="730" w:type="dxa"/>
            <w:tcBorders>
              <w:top w:val="single" w:color="auto" w:sz="4" w:space="0"/>
              <w:left w:val="single" w:color="auto" w:sz="4" w:space="0"/>
              <w:bottom w:val="single" w:color="auto" w:sz="4" w:space="0"/>
              <w:right w:val="single" w:color="auto" w:sz="4" w:space="0"/>
            </w:tcBorders>
            <w:vAlign w:val="center"/>
          </w:tcPr>
          <w:p w14:paraId="74E0DC93">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3FD5C8F9">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17E41E2B">
            <w:pPr>
              <w:wordWrap w:val="0"/>
              <w:topLinePunct/>
              <w:ind w:left="87"/>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0F43E9D1">
            <w:pPr>
              <w:wordWrap w:val="0"/>
              <w:topLinePunct/>
              <w:jc w:val="center"/>
              <w:rPr>
                <w:rFonts w:ascii="宋体" w:hAnsi="宋体"/>
                <w:szCs w:val="21"/>
              </w:rPr>
            </w:pPr>
          </w:p>
        </w:tc>
      </w:tr>
      <w:tr w14:paraId="5605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215759F6">
            <w:pPr>
              <w:wordWrap w:val="0"/>
              <w:topLinePunct/>
              <w:jc w:val="center"/>
              <w:rPr>
                <w:rFonts w:ascii="宋体" w:hAnsi="宋体" w:cs="宋体"/>
                <w:sz w:val="20"/>
              </w:rPr>
            </w:pPr>
            <w:r>
              <w:rPr>
                <w:rFonts w:hint="eastAsia" w:ascii="宋体" w:hAnsi="宋体"/>
                <w:sz w:val="20"/>
              </w:rPr>
              <w:t>10</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529E1A64">
            <w:pPr>
              <w:wordWrap w:val="0"/>
              <w:topLinePunct/>
              <w:jc w:val="left"/>
              <w:rPr>
                <w:rFonts w:ascii="宋体" w:hAnsi="宋体" w:cs="宋体"/>
                <w:sz w:val="20"/>
              </w:rPr>
            </w:pPr>
            <w:r>
              <w:rPr>
                <w:rFonts w:hint="eastAsia" w:ascii="宋体" w:hAnsi="宋体"/>
                <w:sz w:val="20"/>
              </w:rPr>
              <w:t>乙方人员没有统一着装到场作业的。</w:t>
            </w:r>
          </w:p>
        </w:tc>
        <w:tc>
          <w:tcPr>
            <w:tcW w:w="730" w:type="dxa"/>
            <w:tcBorders>
              <w:top w:val="single" w:color="auto" w:sz="4" w:space="0"/>
              <w:left w:val="single" w:color="auto" w:sz="4" w:space="0"/>
              <w:bottom w:val="single" w:color="auto" w:sz="4" w:space="0"/>
              <w:right w:val="single" w:color="auto" w:sz="4" w:space="0"/>
            </w:tcBorders>
            <w:vAlign w:val="center"/>
          </w:tcPr>
          <w:p w14:paraId="05DA2DC7">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6191AAB5">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42E85655">
            <w:pPr>
              <w:wordWrap w:val="0"/>
              <w:topLinePunct/>
              <w:ind w:left="87"/>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41F103D5">
            <w:pPr>
              <w:wordWrap w:val="0"/>
              <w:topLinePunct/>
              <w:jc w:val="center"/>
              <w:rPr>
                <w:rFonts w:ascii="宋体" w:hAnsi="宋体"/>
                <w:sz w:val="20"/>
              </w:rPr>
            </w:pPr>
          </w:p>
        </w:tc>
      </w:tr>
      <w:tr w14:paraId="74EF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518A1BAC">
            <w:pPr>
              <w:wordWrap w:val="0"/>
              <w:topLinePunct/>
              <w:jc w:val="center"/>
              <w:rPr>
                <w:rFonts w:ascii="宋体" w:hAnsi="宋体" w:cs="宋体"/>
                <w:sz w:val="20"/>
              </w:rPr>
            </w:pPr>
            <w:r>
              <w:rPr>
                <w:rFonts w:hint="eastAsia" w:ascii="宋体" w:hAnsi="宋体"/>
                <w:sz w:val="20"/>
              </w:rPr>
              <w:t>11</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7C7E6DA3">
            <w:pPr>
              <w:wordWrap w:val="0"/>
              <w:topLinePunct/>
              <w:jc w:val="left"/>
              <w:rPr>
                <w:rFonts w:ascii="宋体" w:hAnsi="宋体" w:cs="宋体"/>
                <w:sz w:val="20"/>
              </w:rPr>
            </w:pPr>
            <w:r>
              <w:rPr>
                <w:rFonts w:hint="eastAsia" w:ascii="宋体" w:hAnsi="宋体"/>
                <w:sz w:val="20"/>
              </w:rPr>
              <w:t>乙方人员没按时到岗、缺席或未准时参加甲方要求参加的会议。</w:t>
            </w:r>
          </w:p>
        </w:tc>
        <w:tc>
          <w:tcPr>
            <w:tcW w:w="730" w:type="dxa"/>
            <w:tcBorders>
              <w:top w:val="single" w:color="auto" w:sz="4" w:space="0"/>
              <w:left w:val="single" w:color="auto" w:sz="4" w:space="0"/>
              <w:bottom w:val="single" w:color="auto" w:sz="4" w:space="0"/>
              <w:right w:val="single" w:color="auto" w:sz="4" w:space="0"/>
            </w:tcBorders>
            <w:vAlign w:val="center"/>
          </w:tcPr>
          <w:p w14:paraId="4ABBFB5C">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6E9988C8">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7F23A354">
            <w:pPr>
              <w:wordWrap w:val="0"/>
              <w:topLinePunct/>
              <w:ind w:left="87"/>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3847BC25">
            <w:pPr>
              <w:wordWrap w:val="0"/>
              <w:topLinePunct/>
              <w:jc w:val="center"/>
              <w:rPr>
                <w:rFonts w:ascii="宋体" w:hAnsi="宋体"/>
                <w:szCs w:val="21"/>
              </w:rPr>
            </w:pPr>
          </w:p>
        </w:tc>
      </w:tr>
      <w:tr w14:paraId="768E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6AEC4EDB">
            <w:pPr>
              <w:wordWrap w:val="0"/>
              <w:topLinePunct/>
              <w:jc w:val="center"/>
              <w:rPr>
                <w:rFonts w:ascii="宋体" w:hAnsi="宋体" w:cs="宋体"/>
                <w:sz w:val="20"/>
              </w:rPr>
            </w:pPr>
            <w:r>
              <w:rPr>
                <w:rFonts w:hint="eastAsia" w:ascii="宋体" w:hAnsi="宋体"/>
                <w:sz w:val="20"/>
              </w:rPr>
              <w:t>12</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1C5C6B3C">
            <w:pPr>
              <w:wordWrap w:val="0"/>
              <w:topLinePunct/>
              <w:jc w:val="left"/>
              <w:rPr>
                <w:rFonts w:ascii="宋体" w:hAnsi="宋体" w:cs="宋体"/>
                <w:sz w:val="20"/>
              </w:rPr>
            </w:pPr>
            <w:r>
              <w:rPr>
                <w:rFonts w:hint="eastAsia" w:ascii="宋体" w:hAnsi="宋体"/>
                <w:sz w:val="20"/>
              </w:rPr>
              <w:t>乙方人员没有做到在规定的响应时间里到达事故或报警现场的。</w:t>
            </w:r>
          </w:p>
        </w:tc>
        <w:tc>
          <w:tcPr>
            <w:tcW w:w="730" w:type="dxa"/>
            <w:tcBorders>
              <w:top w:val="single" w:color="auto" w:sz="4" w:space="0"/>
              <w:left w:val="single" w:color="auto" w:sz="4" w:space="0"/>
              <w:bottom w:val="single" w:color="auto" w:sz="4" w:space="0"/>
              <w:right w:val="single" w:color="auto" w:sz="4" w:space="0"/>
            </w:tcBorders>
            <w:vAlign w:val="center"/>
          </w:tcPr>
          <w:p w14:paraId="047D4CAA">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6FA5E6C1">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6319DCE4">
            <w:pPr>
              <w:wordWrap w:val="0"/>
              <w:topLinePunct/>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34367127">
            <w:pPr>
              <w:wordWrap w:val="0"/>
              <w:topLinePunct/>
              <w:jc w:val="center"/>
              <w:rPr>
                <w:rFonts w:ascii="宋体" w:hAnsi="宋体"/>
                <w:sz w:val="20"/>
              </w:rPr>
            </w:pPr>
          </w:p>
        </w:tc>
      </w:tr>
      <w:tr w14:paraId="104E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4A6CE547">
            <w:pPr>
              <w:wordWrap w:val="0"/>
              <w:topLinePunct/>
              <w:jc w:val="center"/>
              <w:rPr>
                <w:rFonts w:ascii="宋体" w:hAnsi="宋体" w:cs="宋体"/>
                <w:sz w:val="20"/>
              </w:rPr>
            </w:pPr>
            <w:r>
              <w:rPr>
                <w:rFonts w:hint="eastAsia" w:ascii="宋体" w:hAnsi="宋体"/>
                <w:sz w:val="20"/>
              </w:rPr>
              <w:t>13</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26A27FA5">
            <w:pPr>
              <w:wordWrap w:val="0"/>
              <w:topLinePunct/>
              <w:jc w:val="left"/>
              <w:rPr>
                <w:rFonts w:ascii="宋体" w:hAnsi="宋体" w:cs="宋体"/>
                <w:sz w:val="20"/>
              </w:rPr>
            </w:pPr>
            <w:r>
              <w:rPr>
                <w:rFonts w:hint="eastAsia" w:ascii="宋体" w:hAnsi="宋体"/>
                <w:sz w:val="20"/>
              </w:rPr>
              <w:t>乙方人员上班睡觉或喝酒，未造成严重后果。</w:t>
            </w:r>
          </w:p>
        </w:tc>
        <w:tc>
          <w:tcPr>
            <w:tcW w:w="730" w:type="dxa"/>
            <w:tcBorders>
              <w:top w:val="single" w:color="auto" w:sz="4" w:space="0"/>
              <w:left w:val="single" w:color="auto" w:sz="4" w:space="0"/>
              <w:bottom w:val="single" w:color="auto" w:sz="4" w:space="0"/>
              <w:right w:val="single" w:color="auto" w:sz="4" w:space="0"/>
            </w:tcBorders>
            <w:vAlign w:val="center"/>
          </w:tcPr>
          <w:p w14:paraId="191FC09E">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07DCBC1B">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59B11D20">
            <w:pPr>
              <w:wordWrap w:val="0"/>
              <w:topLinePunct/>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2F3ADF37">
            <w:pPr>
              <w:wordWrap w:val="0"/>
              <w:topLinePunct/>
              <w:jc w:val="center"/>
              <w:rPr>
                <w:rFonts w:ascii="宋体" w:hAnsi="宋体"/>
                <w:szCs w:val="21"/>
              </w:rPr>
            </w:pPr>
          </w:p>
        </w:tc>
      </w:tr>
      <w:tr w14:paraId="47C6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64E82712">
            <w:pPr>
              <w:wordWrap w:val="0"/>
              <w:topLinePunct/>
              <w:jc w:val="center"/>
              <w:rPr>
                <w:rFonts w:ascii="宋体" w:hAnsi="宋体" w:cs="宋体"/>
                <w:sz w:val="20"/>
              </w:rPr>
            </w:pPr>
            <w:r>
              <w:rPr>
                <w:rFonts w:hint="eastAsia" w:ascii="宋体" w:hAnsi="宋体"/>
                <w:sz w:val="20"/>
              </w:rPr>
              <w:t>14</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05E8601C">
            <w:pPr>
              <w:wordWrap w:val="0"/>
              <w:topLinePunct/>
              <w:jc w:val="left"/>
              <w:rPr>
                <w:rFonts w:ascii="宋体" w:hAnsi="宋体" w:cs="宋体"/>
                <w:sz w:val="20"/>
              </w:rPr>
            </w:pPr>
            <w:r>
              <w:rPr>
                <w:rFonts w:hint="eastAsia" w:ascii="宋体" w:hAnsi="宋体"/>
                <w:sz w:val="20"/>
              </w:rPr>
              <w:t>乙方人员违反消防系统操作规程或挪用系统设备，未造成严重后果的。</w:t>
            </w:r>
          </w:p>
        </w:tc>
        <w:tc>
          <w:tcPr>
            <w:tcW w:w="730" w:type="dxa"/>
            <w:tcBorders>
              <w:top w:val="single" w:color="auto" w:sz="4" w:space="0"/>
              <w:left w:val="single" w:color="auto" w:sz="4" w:space="0"/>
              <w:bottom w:val="single" w:color="auto" w:sz="4" w:space="0"/>
              <w:right w:val="single" w:color="auto" w:sz="4" w:space="0"/>
            </w:tcBorders>
            <w:vAlign w:val="center"/>
          </w:tcPr>
          <w:p w14:paraId="6CFD9714">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4C5EBF79">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4847657C">
            <w:pPr>
              <w:wordWrap w:val="0"/>
              <w:topLinePunct/>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23F3A1F1">
            <w:pPr>
              <w:wordWrap w:val="0"/>
              <w:topLinePunct/>
              <w:jc w:val="center"/>
              <w:rPr>
                <w:rFonts w:ascii="宋体" w:hAnsi="宋体"/>
                <w:szCs w:val="21"/>
              </w:rPr>
            </w:pPr>
          </w:p>
        </w:tc>
      </w:tr>
      <w:tr w14:paraId="6F44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4D43CC20">
            <w:pPr>
              <w:wordWrap w:val="0"/>
              <w:topLinePunct/>
              <w:jc w:val="center"/>
              <w:rPr>
                <w:rFonts w:ascii="宋体" w:hAnsi="宋体" w:cs="宋体"/>
                <w:sz w:val="20"/>
              </w:rPr>
            </w:pPr>
            <w:r>
              <w:rPr>
                <w:rFonts w:hint="eastAsia" w:ascii="宋体" w:hAnsi="宋体"/>
                <w:sz w:val="20"/>
              </w:rPr>
              <w:t>15</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3009255E">
            <w:pPr>
              <w:wordWrap w:val="0"/>
              <w:topLinePunct/>
              <w:jc w:val="left"/>
              <w:rPr>
                <w:rFonts w:ascii="宋体" w:hAnsi="宋体" w:cs="宋体"/>
                <w:sz w:val="20"/>
              </w:rPr>
            </w:pPr>
            <w:r>
              <w:rPr>
                <w:rFonts w:hint="eastAsia" w:ascii="宋体" w:hAnsi="宋体"/>
                <w:sz w:val="20"/>
              </w:rPr>
              <w:t>乙方进行维保施工时未遵守甲方的有关规章制度，服从甲方工作人安排。</w:t>
            </w:r>
          </w:p>
        </w:tc>
        <w:tc>
          <w:tcPr>
            <w:tcW w:w="730" w:type="dxa"/>
            <w:tcBorders>
              <w:top w:val="single" w:color="auto" w:sz="4" w:space="0"/>
              <w:left w:val="single" w:color="auto" w:sz="4" w:space="0"/>
              <w:bottom w:val="single" w:color="auto" w:sz="4" w:space="0"/>
              <w:right w:val="single" w:color="auto" w:sz="4" w:space="0"/>
            </w:tcBorders>
            <w:vAlign w:val="center"/>
          </w:tcPr>
          <w:p w14:paraId="0BDE430D">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262DC063">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586ED7C5">
            <w:pPr>
              <w:wordWrap w:val="0"/>
              <w:topLinePunct/>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3C187FBE">
            <w:pPr>
              <w:wordWrap w:val="0"/>
              <w:topLinePunct/>
              <w:jc w:val="center"/>
              <w:rPr>
                <w:rFonts w:ascii="宋体" w:hAnsi="宋体"/>
                <w:szCs w:val="21"/>
              </w:rPr>
            </w:pPr>
          </w:p>
        </w:tc>
      </w:tr>
      <w:tr w14:paraId="7D9D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5B44F59F">
            <w:pPr>
              <w:wordWrap w:val="0"/>
              <w:topLinePunct/>
              <w:jc w:val="center"/>
              <w:rPr>
                <w:rFonts w:ascii="宋体" w:hAnsi="宋体" w:cs="宋体"/>
                <w:sz w:val="20"/>
              </w:rPr>
            </w:pPr>
            <w:r>
              <w:rPr>
                <w:rFonts w:hint="eastAsia" w:ascii="宋体" w:hAnsi="宋体"/>
                <w:sz w:val="20"/>
              </w:rPr>
              <w:t>16</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6B97EA0E">
            <w:pPr>
              <w:wordWrap w:val="0"/>
              <w:topLinePunct/>
              <w:jc w:val="left"/>
              <w:rPr>
                <w:rFonts w:ascii="宋体" w:hAnsi="宋体" w:cs="宋体"/>
                <w:sz w:val="20"/>
              </w:rPr>
            </w:pPr>
            <w:r>
              <w:rPr>
                <w:rFonts w:hint="eastAsia" w:ascii="宋体" w:hAnsi="宋体"/>
                <w:sz w:val="20"/>
              </w:rPr>
              <w:t>乙方需提供专业从业人员资质证书，乙方工作人员无证上岗或虚假资质者。</w:t>
            </w:r>
          </w:p>
        </w:tc>
        <w:tc>
          <w:tcPr>
            <w:tcW w:w="730" w:type="dxa"/>
            <w:tcBorders>
              <w:top w:val="single" w:color="auto" w:sz="4" w:space="0"/>
              <w:left w:val="single" w:color="auto" w:sz="4" w:space="0"/>
              <w:bottom w:val="single" w:color="auto" w:sz="4" w:space="0"/>
              <w:right w:val="single" w:color="auto" w:sz="4" w:space="0"/>
            </w:tcBorders>
            <w:vAlign w:val="center"/>
          </w:tcPr>
          <w:p w14:paraId="5C104136">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2A67A6D6">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64CE4598">
            <w:pPr>
              <w:wordWrap w:val="0"/>
              <w:topLinePunct/>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09CDF8C8">
            <w:pPr>
              <w:wordWrap w:val="0"/>
              <w:topLinePunct/>
              <w:jc w:val="center"/>
              <w:rPr>
                <w:rFonts w:ascii="宋体" w:hAnsi="宋体"/>
                <w:szCs w:val="21"/>
              </w:rPr>
            </w:pPr>
          </w:p>
        </w:tc>
      </w:tr>
      <w:tr w14:paraId="7707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175E8EE8">
            <w:pPr>
              <w:wordWrap w:val="0"/>
              <w:topLinePunct/>
              <w:jc w:val="center"/>
              <w:rPr>
                <w:rFonts w:ascii="宋体" w:hAnsi="宋体" w:cs="宋体"/>
                <w:sz w:val="20"/>
              </w:rPr>
            </w:pPr>
            <w:r>
              <w:rPr>
                <w:rFonts w:hint="eastAsia" w:ascii="宋体" w:hAnsi="宋体"/>
                <w:sz w:val="20"/>
              </w:rPr>
              <w:t>17</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44222D66">
            <w:pPr>
              <w:wordWrap w:val="0"/>
              <w:topLinePunct/>
              <w:jc w:val="left"/>
              <w:rPr>
                <w:rFonts w:ascii="宋体" w:hAnsi="宋体" w:cs="宋体"/>
                <w:sz w:val="20"/>
              </w:rPr>
            </w:pPr>
            <w:r>
              <w:rPr>
                <w:rFonts w:hint="eastAsia" w:ascii="宋体" w:hAnsi="宋体"/>
                <w:sz w:val="20"/>
              </w:rPr>
              <w:t>乙方不按要求报送甲方要求的各类维修计划、施工组织设计、记录报表等或抢修设施设备因资源投入或管理不善等原因未及时完成、延误工期的。</w:t>
            </w:r>
          </w:p>
        </w:tc>
        <w:tc>
          <w:tcPr>
            <w:tcW w:w="730" w:type="dxa"/>
            <w:tcBorders>
              <w:top w:val="single" w:color="auto" w:sz="4" w:space="0"/>
              <w:left w:val="single" w:color="auto" w:sz="4" w:space="0"/>
              <w:bottom w:val="single" w:color="auto" w:sz="4" w:space="0"/>
              <w:right w:val="single" w:color="auto" w:sz="4" w:space="0"/>
            </w:tcBorders>
            <w:vAlign w:val="center"/>
          </w:tcPr>
          <w:p w14:paraId="251C924F">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5B536D51">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1FAFE3AD">
            <w:pPr>
              <w:wordWrap w:val="0"/>
              <w:topLinePunct/>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699B6EB6">
            <w:pPr>
              <w:wordWrap w:val="0"/>
              <w:topLinePunct/>
              <w:jc w:val="center"/>
              <w:rPr>
                <w:rFonts w:ascii="宋体" w:hAnsi="宋体"/>
                <w:szCs w:val="21"/>
              </w:rPr>
            </w:pPr>
          </w:p>
        </w:tc>
      </w:tr>
      <w:tr w14:paraId="0009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7C24F8C5">
            <w:pPr>
              <w:wordWrap w:val="0"/>
              <w:topLinePunct/>
              <w:jc w:val="center"/>
              <w:rPr>
                <w:rFonts w:ascii="宋体" w:hAnsi="宋体" w:cs="宋体"/>
                <w:sz w:val="20"/>
              </w:rPr>
            </w:pPr>
            <w:r>
              <w:rPr>
                <w:rFonts w:hint="eastAsia" w:ascii="宋体" w:hAnsi="宋体"/>
                <w:sz w:val="20"/>
              </w:rPr>
              <w:t>18</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025E6CB4">
            <w:pPr>
              <w:wordWrap w:val="0"/>
              <w:topLinePunct/>
              <w:jc w:val="left"/>
              <w:rPr>
                <w:rFonts w:ascii="宋体" w:hAnsi="宋体" w:cs="宋体"/>
                <w:sz w:val="20"/>
              </w:rPr>
            </w:pPr>
            <w:r>
              <w:rPr>
                <w:rFonts w:hint="eastAsia" w:ascii="宋体" w:hAnsi="宋体"/>
                <w:sz w:val="20"/>
              </w:rPr>
              <w:t>乙方有关负责人不如实汇报工作情况，或隐瞒事实真相。</w:t>
            </w:r>
          </w:p>
        </w:tc>
        <w:tc>
          <w:tcPr>
            <w:tcW w:w="730" w:type="dxa"/>
            <w:tcBorders>
              <w:top w:val="single" w:color="auto" w:sz="4" w:space="0"/>
              <w:left w:val="single" w:color="auto" w:sz="4" w:space="0"/>
              <w:bottom w:val="single" w:color="auto" w:sz="4" w:space="0"/>
              <w:right w:val="single" w:color="auto" w:sz="4" w:space="0"/>
            </w:tcBorders>
            <w:vAlign w:val="center"/>
          </w:tcPr>
          <w:p w14:paraId="242FF6ED">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5ADA836F">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655EDEC7">
            <w:pPr>
              <w:wordWrap w:val="0"/>
              <w:topLinePunct/>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01EC77DA">
            <w:pPr>
              <w:wordWrap w:val="0"/>
              <w:topLinePunct/>
              <w:jc w:val="center"/>
              <w:rPr>
                <w:rFonts w:ascii="宋体" w:hAnsi="宋体"/>
                <w:szCs w:val="21"/>
              </w:rPr>
            </w:pPr>
          </w:p>
        </w:tc>
      </w:tr>
      <w:tr w14:paraId="5670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4" w:type="dxa"/>
            <w:tcBorders>
              <w:top w:val="single" w:color="auto" w:sz="4" w:space="0"/>
              <w:left w:val="single" w:color="auto" w:sz="4" w:space="0"/>
              <w:bottom w:val="single" w:color="auto" w:sz="4" w:space="0"/>
              <w:right w:val="single" w:color="auto" w:sz="4" w:space="0"/>
            </w:tcBorders>
            <w:vAlign w:val="center"/>
          </w:tcPr>
          <w:p w14:paraId="67822265">
            <w:pPr>
              <w:wordWrap w:val="0"/>
              <w:topLinePunct/>
              <w:jc w:val="center"/>
              <w:rPr>
                <w:rFonts w:ascii="宋体" w:hAnsi="宋体" w:cs="宋体"/>
                <w:sz w:val="20"/>
              </w:rPr>
            </w:pPr>
            <w:r>
              <w:rPr>
                <w:rFonts w:hint="eastAsia" w:ascii="宋体" w:hAnsi="宋体"/>
                <w:sz w:val="20"/>
              </w:rPr>
              <w:t>19</w:t>
            </w:r>
          </w:p>
        </w:tc>
        <w:tc>
          <w:tcPr>
            <w:tcW w:w="3696" w:type="dxa"/>
            <w:gridSpan w:val="2"/>
            <w:tcBorders>
              <w:top w:val="single" w:color="auto" w:sz="4" w:space="0"/>
              <w:left w:val="single" w:color="auto" w:sz="4" w:space="0"/>
              <w:bottom w:val="single" w:color="auto" w:sz="4" w:space="0"/>
              <w:right w:val="single" w:color="auto" w:sz="4" w:space="0"/>
            </w:tcBorders>
            <w:vAlign w:val="center"/>
          </w:tcPr>
          <w:p w14:paraId="4C3A650E">
            <w:pPr>
              <w:wordWrap w:val="0"/>
              <w:topLinePunct/>
              <w:jc w:val="left"/>
              <w:rPr>
                <w:rFonts w:ascii="宋体" w:hAnsi="宋体" w:cs="宋体"/>
                <w:sz w:val="20"/>
              </w:rPr>
            </w:pPr>
            <w:r>
              <w:rPr>
                <w:rFonts w:hint="eastAsia" w:ascii="宋体" w:hAnsi="宋体"/>
                <w:sz w:val="20"/>
              </w:rPr>
              <w:t>乙方因自备工器具准备不足导致检修延误。</w:t>
            </w:r>
          </w:p>
        </w:tc>
        <w:tc>
          <w:tcPr>
            <w:tcW w:w="730" w:type="dxa"/>
            <w:tcBorders>
              <w:top w:val="single" w:color="auto" w:sz="4" w:space="0"/>
              <w:left w:val="single" w:color="auto" w:sz="4" w:space="0"/>
              <w:bottom w:val="single" w:color="auto" w:sz="4" w:space="0"/>
              <w:right w:val="single" w:color="auto" w:sz="4" w:space="0"/>
            </w:tcBorders>
            <w:vAlign w:val="center"/>
          </w:tcPr>
          <w:p w14:paraId="545AA9B0">
            <w:pPr>
              <w:wordWrap w:val="0"/>
              <w:topLinePunct/>
              <w:jc w:val="center"/>
              <w:rPr>
                <w:rFonts w:ascii="宋体" w:hAnsi="宋体" w:cs="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23C3D526">
            <w:pPr>
              <w:wordWrap w:val="0"/>
              <w:topLinePunct/>
              <w:jc w:val="center"/>
              <w:rPr>
                <w:rFonts w:ascii="宋体" w:hAnsi="宋体" w:cs="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64242777">
            <w:pPr>
              <w:wordWrap w:val="0"/>
              <w:topLinePunct/>
              <w:jc w:val="center"/>
              <w:rPr>
                <w:rFonts w:ascii="宋体" w:hAnsi="宋体" w:cs="宋体"/>
                <w:sz w:val="20"/>
              </w:rPr>
            </w:pPr>
          </w:p>
        </w:tc>
        <w:tc>
          <w:tcPr>
            <w:tcW w:w="2541" w:type="dxa"/>
            <w:gridSpan w:val="2"/>
            <w:tcBorders>
              <w:top w:val="single" w:color="auto" w:sz="4" w:space="0"/>
              <w:left w:val="single" w:color="auto" w:sz="4" w:space="0"/>
              <w:bottom w:val="single" w:color="auto" w:sz="4" w:space="0"/>
              <w:right w:val="single" w:color="auto" w:sz="4" w:space="0"/>
            </w:tcBorders>
            <w:vAlign w:val="center"/>
          </w:tcPr>
          <w:p w14:paraId="2DCD22FB">
            <w:pPr>
              <w:wordWrap w:val="0"/>
              <w:topLinePunct/>
              <w:jc w:val="center"/>
              <w:rPr>
                <w:rFonts w:ascii="宋体" w:hAnsi="宋体"/>
                <w:szCs w:val="21"/>
              </w:rPr>
            </w:pPr>
          </w:p>
        </w:tc>
      </w:tr>
      <w:tr w14:paraId="48CF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50" w:type="dxa"/>
            <w:gridSpan w:val="2"/>
            <w:tcBorders>
              <w:top w:val="single" w:color="auto" w:sz="4" w:space="0"/>
              <w:left w:val="single" w:color="auto" w:sz="4" w:space="0"/>
              <w:bottom w:val="single" w:color="auto" w:sz="4" w:space="0"/>
              <w:right w:val="single" w:color="auto" w:sz="4" w:space="0"/>
            </w:tcBorders>
          </w:tcPr>
          <w:p w14:paraId="322CAE68">
            <w:pPr>
              <w:wordWrap w:val="0"/>
              <w:topLinePunct/>
              <w:jc w:val="center"/>
              <w:rPr>
                <w:b/>
                <w:szCs w:val="21"/>
              </w:rPr>
            </w:pPr>
            <w:r>
              <w:rPr>
                <w:rFonts w:hint="eastAsia"/>
                <w:b/>
                <w:szCs w:val="21"/>
              </w:rPr>
              <w:t>违反合同规定按要求扣分</w:t>
            </w:r>
          </w:p>
        </w:tc>
        <w:tc>
          <w:tcPr>
            <w:tcW w:w="1940" w:type="dxa"/>
            <w:tcBorders>
              <w:top w:val="single" w:color="auto" w:sz="4" w:space="0"/>
              <w:left w:val="single" w:color="auto" w:sz="4" w:space="0"/>
              <w:bottom w:val="single" w:color="auto" w:sz="4" w:space="0"/>
              <w:right w:val="single" w:color="auto" w:sz="4" w:space="0"/>
            </w:tcBorders>
          </w:tcPr>
          <w:p w14:paraId="2CFF56A2">
            <w:pPr>
              <w:wordWrap w:val="0"/>
              <w:topLinePunct/>
              <w:jc w:val="center"/>
              <w:rPr>
                <w:b/>
                <w:szCs w:val="21"/>
              </w:rPr>
            </w:pPr>
            <w:r>
              <w:rPr>
                <w:rFonts w:hint="eastAsia"/>
                <w:b/>
                <w:sz w:val="20"/>
              </w:rPr>
              <w:t>单月扣分</w:t>
            </w:r>
          </w:p>
        </w:tc>
        <w:tc>
          <w:tcPr>
            <w:tcW w:w="730" w:type="dxa"/>
            <w:tcBorders>
              <w:top w:val="single" w:color="auto" w:sz="4" w:space="0"/>
              <w:left w:val="single" w:color="auto" w:sz="4" w:space="0"/>
              <w:bottom w:val="single" w:color="auto" w:sz="4" w:space="0"/>
              <w:right w:val="single" w:color="auto" w:sz="4" w:space="0"/>
            </w:tcBorders>
          </w:tcPr>
          <w:p w14:paraId="6AFC4B8A">
            <w:pPr>
              <w:wordWrap w:val="0"/>
              <w:topLinePunct/>
              <w:jc w:val="center"/>
              <w:rPr>
                <w:szCs w:val="21"/>
              </w:rPr>
            </w:pPr>
          </w:p>
        </w:tc>
        <w:tc>
          <w:tcPr>
            <w:tcW w:w="506" w:type="dxa"/>
            <w:tcBorders>
              <w:top w:val="single" w:color="auto" w:sz="4" w:space="0"/>
              <w:left w:val="single" w:color="auto" w:sz="4" w:space="0"/>
              <w:bottom w:val="single" w:color="auto" w:sz="4" w:space="0"/>
              <w:right w:val="single" w:color="auto" w:sz="4" w:space="0"/>
            </w:tcBorders>
          </w:tcPr>
          <w:p w14:paraId="336BB2F4">
            <w:pPr>
              <w:wordWrap w:val="0"/>
              <w:topLinePunct/>
              <w:jc w:val="center"/>
              <w:rPr>
                <w:szCs w:val="21"/>
              </w:rPr>
            </w:pPr>
          </w:p>
        </w:tc>
        <w:tc>
          <w:tcPr>
            <w:tcW w:w="480" w:type="dxa"/>
            <w:tcBorders>
              <w:top w:val="single" w:color="auto" w:sz="4" w:space="0"/>
              <w:left w:val="single" w:color="auto" w:sz="4" w:space="0"/>
              <w:bottom w:val="single" w:color="auto" w:sz="4" w:space="0"/>
              <w:right w:val="single" w:color="auto" w:sz="4" w:space="0"/>
            </w:tcBorders>
          </w:tcPr>
          <w:p w14:paraId="669BE3D0">
            <w:pPr>
              <w:wordWrap w:val="0"/>
              <w:topLinePunct/>
              <w:jc w:val="center"/>
              <w:rPr>
                <w:szCs w:val="21"/>
              </w:rPr>
            </w:pPr>
          </w:p>
        </w:tc>
        <w:tc>
          <w:tcPr>
            <w:tcW w:w="1114" w:type="dxa"/>
            <w:tcBorders>
              <w:top w:val="single" w:color="auto" w:sz="4" w:space="0"/>
              <w:left w:val="single" w:color="auto" w:sz="4" w:space="0"/>
              <w:bottom w:val="single" w:color="auto" w:sz="4" w:space="0"/>
              <w:right w:val="single" w:color="auto" w:sz="4" w:space="0"/>
            </w:tcBorders>
          </w:tcPr>
          <w:p w14:paraId="1ADA2BAF">
            <w:pPr>
              <w:wordWrap w:val="0"/>
              <w:topLinePunct/>
              <w:jc w:val="center"/>
              <w:rPr>
                <w:b/>
                <w:szCs w:val="21"/>
              </w:rPr>
            </w:pPr>
            <w:r>
              <w:rPr>
                <w:rFonts w:hint="eastAsia" w:ascii="宋体" w:hAnsi="宋体" w:cs="宋体"/>
                <w:b/>
                <w:sz w:val="20"/>
              </w:rPr>
              <w:t>平均扣分</w:t>
            </w:r>
          </w:p>
        </w:tc>
        <w:tc>
          <w:tcPr>
            <w:tcW w:w="1427" w:type="dxa"/>
            <w:tcBorders>
              <w:top w:val="single" w:color="auto" w:sz="4" w:space="0"/>
              <w:left w:val="single" w:color="auto" w:sz="4" w:space="0"/>
              <w:bottom w:val="single" w:color="auto" w:sz="4" w:space="0"/>
              <w:right w:val="single" w:color="auto" w:sz="4" w:space="0"/>
            </w:tcBorders>
          </w:tcPr>
          <w:p w14:paraId="773C3A19">
            <w:pPr>
              <w:wordWrap w:val="0"/>
              <w:topLinePunct/>
              <w:jc w:val="center"/>
              <w:rPr>
                <w:szCs w:val="21"/>
              </w:rPr>
            </w:pPr>
          </w:p>
        </w:tc>
      </w:tr>
      <w:tr w14:paraId="7C72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50" w:type="dxa"/>
            <w:gridSpan w:val="2"/>
            <w:tcBorders>
              <w:top w:val="single" w:color="auto" w:sz="4" w:space="0"/>
              <w:left w:val="single" w:color="auto" w:sz="4" w:space="0"/>
              <w:bottom w:val="single" w:color="auto" w:sz="4" w:space="0"/>
              <w:right w:val="single" w:color="auto" w:sz="4" w:space="0"/>
            </w:tcBorders>
            <w:vAlign w:val="center"/>
          </w:tcPr>
          <w:p w14:paraId="7CEE9E47">
            <w:pPr>
              <w:wordWrap w:val="0"/>
              <w:topLinePunct/>
              <w:jc w:val="center"/>
              <w:rPr>
                <w:rFonts w:ascii="仿宋_GB2312" w:hAnsi="宋体" w:eastAsia="仿宋_GB2312" w:cs="宋体"/>
                <w:sz w:val="20"/>
              </w:rPr>
            </w:pPr>
            <w:r>
              <w:rPr>
                <w:rFonts w:hint="eastAsia"/>
                <w:b/>
                <w:szCs w:val="21"/>
              </w:rPr>
              <w:t>单月总分合计满分为</w:t>
            </w:r>
            <w:r>
              <w:rPr>
                <w:b/>
                <w:szCs w:val="21"/>
              </w:rPr>
              <w:t>100</w:t>
            </w:r>
            <w:r>
              <w:rPr>
                <w:rFonts w:hint="eastAsia"/>
                <w:b/>
                <w:szCs w:val="21"/>
              </w:rPr>
              <w:t>分</w:t>
            </w:r>
          </w:p>
        </w:tc>
        <w:tc>
          <w:tcPr>
            <w:tcW w:w="1940" w:type="dxa"/>
            <w:tcBorders>
              <w:top w:val="single" w:color="auto" w:sz="4" w:space="0"/>
              <w:left w:val="single" w:color="auto" w:sz="4" w:space="0"/>
              <w:bottom w:val="single" w:color="auto" w:sz="4" w:space="0"/>
              <w:right w:val="single" w:color="auto" w:sz="4" w:space="0"/>
            </w:tcBorders>
            <w:vAlign w:val="center"/>
          </w:tcPr>
          <w:p w14:paraId="15F383DE">
            <w:pPr>
              <w:wordWrap w:val="0"/>
              <w:topLinePunct/>
              <w:jc w:val="center"/>
              <w:rPr>
                <w:rFonts w:ascii="仿宋_GB2312" w:hAnsi="宋体" w:eastAsia="仿宋_GB2312" w:cs="宋体"/>
                <w:b/>
                <w:sz w:val="20"/>
              </w:rPr>
            </w:pPr>
            <w:r>
              <w:rPr>
                <w:rFonts w:hint="eastAsia" w:ascii="宋体" w:hAnsi="宋体" w:cs="宋体"/>
                <w:b/>
                <w:sz w:val="20"/>
              </w:rPr>
              <w:t>单月总分</w:t>
            </w:r>
          </w:p>
        </w:tc>
        <w:tc>
          <w:tcPr>
            <w:tcW w:w="730" w:type="dxa"/>
            <w:tcBorders>
              <w:top w:val="single" w:color="auto" w:sz="4" w:space="0"/>
              <w:left w:val="single" w:color="auto" w:sz="4" w:space="0"/>
              <w:bottom w:val="single" w:color="auto" w:sz="4" w:space="0"/>
              <w:right w:val="single" w:color="auto" w:sz="4" w:space="0"/>
            </w:tcBorders>
            <w:vAlign w:val="center"/>
          </w:tcPr>
          <w:p w14:paraId="2FF30DB3">
            <w:pPr>
              <w:wordWrap w:val="0"/>
              <w:topLinePunct/>
              <w:jc w:val="center"/>
              <w:rPr>
                <w:rFonts w:ascii="宋体" w:hAnsi="宋体"/>
                <w:sz w:val="20"/>
              </w:rPr>
            </w:pPr>
          </w:p>
        </w:tc>
        <w:tc>
          <w:tcPr>
            <w:tcW w:w="506" w:type="dxa"/>
            <w:tcBorders>
              <w:top w:val="single" w:color="auto" w:sz="4" w:space="0"/>
              <w:left w:val="single" w:color="auto" w:sz="4" w:space="0"/>
              <w:bottom w:val="single" w:color="auto" w:sz="4" w:space="0"/>
              <w:right w:val="single" w:color="auto" w:sz="4" w:space="0"/>
            </w:tcBorders>
            <w:vAlign w:val="center"/>
          </w:tcPr>
          <w:p w14:paraId="23B09D79">
            <w:pPr>
              <w:wordWrap w:val="0"/>
              <w:topLinePunct/>
              <w:jc w:val="center"/>
              <w:rPr>
                <w:rFonts w:ascii="宋体" w:hAnsi="宋体"/>
                <w:sz w:val="20"/>
              </w:rPr>
            </w:pPr>
          </w:p>
        </w:tc>
        <w:tc>
          <w:tcPr>
            <w:tcW w:w="480" w:type="dxa"/>
            <w:tcBorders>
              <w:top w:val="single" w:color="auto" w:sz="4" w:space="0"/>
              <w:left w:val="single" w:color="auto" w:sz="4" w:space="0"/>
              <w:bottom w:val="single" w:color="auto" w:sz="4" w:space="0"/>
              <w:right w:val="single" w:color="auto" w:sz="4" w:space="0"/>
            </w:tcBorders>
            <w:vAlign w:val="center"/>
          </w:tcPr>
          <w:p w14:paraId="1D34DBA5">
            <w:pPr>
              <w:wordWrap w:val="0"/>
              <w:topLinePunct/>
              <w:jc w:val="center"/>
              <w:rPr>
                <w:rFonts w:ascii="宋体" w:hAnsi="宋体"/>
                <w:sz w:val="20"/>
              </w:rPr>
            </w:pPr>
          </w:p>
        </w:tc>
        <w:tc>
          <w:tcPr>
            <w:tcW w:w="1114" w:type="dxa"/>
            <w:tcBorders>
              <w:top w:val="single" w:color="auto" w:sz="4" w:space="0"/>
              <w:left w:val="single" w:color="auto" w:sz="4" w:space="0"/>
              <w:bottom w:val="single" w:color="auto" w:sz="4" w:space="0"/>
              <w:right w:val="single" w:color="auto" w:sz="4" w:space="0"/>
            </w:tcBorders>
            <w:vAlign w:val="center"/>
          </w:tcPr>
          <w:p w14:paraId="1582E9D2">
            <w:pPr>
              <w:wordWrap w:val="0"/>
              <w:topLinePunct/>
              <w:jc w:val="center"/>
              <w:rPr>
                <w:rFonts w:ascii="宋体" w:hAnsi="宋体" w:cs="宋体"/>
                <w:b/>
                <w:sz w:val="20"/>
              </w:rPr>
            </w:pPr>
            <w:r>
              <w:rPr>
                <w:rFonts w:hint="eastAsia" w:ascii="宋体" w:hAnsi="宋体" w:cs="宋体"/>
                <w:b/>
                <w:sz w:val="20"/>
              </w:rPr>
              <w:t>平均总分</w:t>
            </w:r>
          </w:p>
        </w:tc>
        <w:tc>
          <w:tcPr>
            <w:tcW w:w="1427" w:type="dxa"/>
            <w:tcBorders>
              <w:top w:val="single" w:color="auto" w:sz="4" w:space="0"/>
              <w:left w:val="single" w:color="auto" w:sz="4" w:space="0"/>
              <w:bottom w:val="single" w:color="auto" w:sz="4" w:space="0"/>
              <w:right w:val="single" w:color="auto" w:sz="4" w:space="0"/>
            </w:tcBorders>
            <w:vAlign w:val="center"/>
          </w:tcPr>
          <w:p w14:paraId="3E55A435">
            <w:pPr>
              <w:wordWrap w:val="0"/>
              <w:topLinePunct/>
              <w:jc w:val="center"/>
              <w:rPr>
                <w:rFonts w:ascii="宋体" w:hAnsi="宋体"/>
                <w:sz w:val="20"/>
              </w:rPr>
            </w:pPr>
          </w:p>
        </w:tc>
      </w:tr>
      <w:tr w14:paraId="7E1F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6" w:type="dxa"/>
            <w:gridSpan w:val="6"/>
            <w:tcBorders>
              <w:top w:val="single" w:color="auto" w:sz="4" w:space="0"/>
              <w:left w:val="single" w:color="auto" w:sz="4" w:space="0"/>
              <w:bottom w:val="single" w:color="auto" w:sz="4" w:space="0"/>
              <w:right w:val="single" w:color="auto" w:sz="4" w:space="0"/>
            </w:tcBorders>
            <w:vAlign w:val="center"/>
          </w:tcPr>
          <w:p w14:paraId="450BE255">
            <w:pPr>
              <w:wordWrap w:val="0"/>
              <w:topLinePunct/>
              <w:jc w:val="left"/>
              <w:rPr>
                <w:szCs w:val="21"/>
              </w:rPr>
            </w:pPr>
            <w:r>
              <w:rPr>
                <w:rFonts w:hint="eastAsia"/>
                <w:b/>
                <w:szCs w:val="21"/>
              </w:rPr>
              <w:t>依据合同要求进行综合评审依据评审结果支付维保费用，当月分数满足支付要求支付全额维保费的填无，对依据合同需要扣除维保费填相应扣除费用。</w:t>
            </w:r>
          </w:p>
        </w:tc>
        <w:tc>
          <w:tcPr>
            <w:tcW w:w="1114" w:type="dxa"/>
            <w:tcBorders>
              <w:top w:val="single" w:color="auto" w:sz="4" w:space="0"/>
              <w:left w:val="single" w:color="auto" w:sz="4" w:space="0"/>
              <w:bottom w:val="single" w:color="auto" w:sz="4" w:space="0"/>
              <w:right w:val="single" w:color="auto" w:sz="4" w:space="0"/>
            </w:tcBorders>
            <w:vAlign w:val="center"/>
          </w:tcPr>
          <w:p w14:paraId="555DE696">
            <w:pPr>
              <w:wordWrap w:val="0"/>
              <w:topLinePunct/>
              <w:jc w:val="center"/>
              <w:rPr>
                <w:b/>
                <w:szCs w:val="21"/>
              </w:rPr>
            </w:pPr>
            <w:r>
              <w:rPr>
                <w:rFonts w:hint="eastAsia"/>
                <w:b/>
                <w:szCs w:val="21"/>
              </w:rPr>
              <w:t>扣除</w:t>
            </w:r>
          </w:p>
          <w:p w14:paraId="175E70EB">
            <w:pPr>
              <w:wordWrap w:val="0"/>
              <w:topLinePunct/>
              <w:jc w:val="center"/>
              <w:rPr>
                <w:b/>
                <w:szCs w:val="21"/>
              </w:rPr>
            </w:pPr>
            <w:r>
              <w:rPr>
                <w:rFonts w:hint="eastAsia"/>
                <w:b/>
                <w:szCs w:val="21"/>
              </w:rPr>
              <w:t>维保费</w:t>
            </w:r>
          </w:p>
        </w:tc>
        <w:tc>
          <w:tcPr>
            <w:tcW w:w="1427" w:type="dxa"/>
            <w:tcBorders>
              <w:top w:val="single" w:color="auto" w:sz="4" w:space="0"/>
              <w:left w:val="single" w:color="auto" w:sz="4" w:space="0"/>
              <w:bottom w:val="single" w:color="auto" w:sz="4" w:space="0"/>
              <w:right w:val="single" w:color="auto" w:sz="4" w:space="0"/>
            </w:tcBorders>
          </w:tcPr>
          <w:p w14:paraId="0B37D3AC">
            <w:pPr>
              <w:wordWrap w:val="0"/>
              <w:topLinePunct/>
              <w:jc w:val="center"/>
              <w:rPr>
                <w:b/>
                <w:szCs w:val="21"/>
              </w:rPr>
            </w:pPr>
          </w:p>
        </w:tc>
      </w:tr>
      <w:tr w14:paraId="6432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7" w:type="dxa"/>
            <w:gridSpan w:val="8"/>
            <w:tcBorders>
              <w:top w:val="single" w:color="auto" w:sz="4" w:space="0"/>
              <w:left w:val="single" w:color="auto" w:sz="4" w:space="0"/>
              <w:bottom w:val="single" w:color="auto" w:sz="4" w:space="0"/>
              <w:right w:val="single" w:color="auto" w:sz="4" w:space="0"/>
            </w:tcBorders>
          </w:tcPr>
          <w:p w14:paraId="10E64BC4">
            <w:pPr>
              <w:wordWrap w:val="0"/>
              <w:topLinePunct/>
              <w:rPr>
                <w:b/>
                <w:szCs w:val="21"/>
              </w:rPr>
            </w:pPr>
            <w:r>
              <w:rPr>
                <w:rFonts w:hint="eastAsia"/>
                <w:b/>
                <w:szCs w:val="21"/>
              </w:rPr>
              <w:t>审核中发现的问题及跟踪解决情况：</w:t>
            </w:r>
            <w:r>
              <w:rPr>
                <w:b/>
                <w:szCs w:val="21"/>
              </w:rPr>
              <w:t xml:space="preserve"> </w:t>
            </w:r>
          </w:p>
          <w:p w14:paraId="48FCE442">
            <w:pPr>
              <w:wordWrap w:val="0"/>
              <w:topLinePunct/>
              <w:ind w:right="420"/>
              <w:jc w:val="center"/>
              <w:rPr>
                <w:szCs w:val="21"/>
              </w:rPr>
            </w:pPr>
            <w:r>
              <w:rPr>
                <w:szCs w:val="21"/>
              </w:rPr>
              <w:t xml:space="preserve">                                                        </w:t>
            </w:r>
            <w:r>
              <w:rPr>
                <w:rFonts w:hint="eastAsia"/>
                <w:szCs w:val="21"/>
              </w:rPr>
              <w:t>维保负责人签名：</w:t>
            </w:r>
          </w:p>
          <w:p w14:paraId="4EA6996F">
            <w:pPr>
              <w:wordWrap w:val="0"/>
              <w:topLinePunct/>
              <w:ind w:right="420"/>
              <w:jc w:val="center"/>
              <w:rPr>
                <w:szCs w:val="21"/>
              </w:rPr>
            </w:pP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r w14:paraId="1C0C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7" w:type="dxa"/>
            <w:gridSpan w:val="8"/>
            <w:tcBorders>
              <w:top w:val="single" w:color="auto" w:sz="4" w:space="0"/>
              <w:left w:val="single" w:color="auto" w:sz="4" w:space="0"/>
              <w:bottom w:val="single" w:color="auto" w:sz="4" w:space="0"/>
              <w:right w:val="single" w:color="auto" w:sz="4" w:space="0"/>
            </w:tcBorders>
          </w:tcPr>
          <w:p w14:paraId="48374FD5">
            <w:pPr>
              <w:wordWrap w:val="0"/>
              <w:topLinePunct/>
              <w:rPr>
                <w:b/>
                <w:szCs w:val="21"/>
              </w:rPr>
            </w:pPr>
            <w:r>
              <w:rPr>
                <w:rFonts w:hint="eastAsia"/>
                <w:b/>
                <w:szCs w:val="21"/>
              </w:rPr>
              <w:t>项目意见：</w:t>
            </w:r>
            <w:r>
              <w:rPr>
                <w:b/>
                <w:szCs w:val="21"/>
              </w:rPr>
              <w:t xml:space="preserve"> </w:t>
            </w:r>
          </w:p>
          <w:p w14:paraId="198371B1">
            <w:pPr>
              <w:wordWrap w:val="0"/>
              <w:topLinePunct/>
              <w:ind w:firstLine="5460" w:firstLineChars="2600"/>
              <w:rPr>
                <w:szCs w:val="21"/>
              </w:rPr>
            </w:pPr>
            <w:r>
              <w:rPr>
                <w:rFonts w:hint="eastAsia"/>
                <w:szCs w:val="21"/>
              </w:rPr>
              <w:t>项目签名：</w:t>
            </w:r>
          </w:p>
          <w:p w14:paraId="3A9CEEEC">
            <w:pPr>
              <w:wordWrap w:val="0"/>
              <w:topLinePunct/>
              <w:ind w:firstLine="5460" w:firstLineChars="2600"/>
              <w:rPr>
                <w:b/>
                <w:szCs w:val="21"/>
              </w:rPr>
            </w:pP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bl>
    <w:p w14:paraId="6B1D957B">
      <w:pPr>
        <w:wordWrap w:val="0"/>
        <w:topLinePunct/>
      </w:pPr>
    </w:p>
    <w:p w14:paraId="1699C0AC">
      <w:pPr>
        <w:pStyle w:val="2"/>
        <w:keepNext w:val="0"/>
        <w:keepLines w:val="0"/>
        <w:wordWrap w:val="0"/>
        <w:topLinePunct/>
      </w:pPr>
    </w:p>
    <w:p w14:paraId="456DEB89">
      <w:pPr>
        <w:pStyle w:val="12"/>
        <w:ind w:firstLine="0" w:firstLineChars="0"/>
        <w:rPr>
          <w:b/>
          <w:bCs/>
        </w:rPr>
      </w:pPr>
      <w:r>
        <w:br w:type="page"/>
      </w:r>
      <w:r>
        <w:rPr>
          <w:rFonts w:hint="eastAsia"/>
          <w:b/>
          <w:bCs/>
        </w:rPr>
        <w:t>附件</w:t>
      </w:r>
      <w:r>
        <w:rPr>
          <w:b/>
          <w:bCs/>
        </w:rPr>
        <w:t xml:space="preserve">4 </w:t>
      </w:r>
    </w:p>
    <w:p w14:paraId="43CB13BF">
      <w:pPr>
        <w:pStyle w:val="12"/>
        <w:ind w:firstLine="0" w:firstLineChars="0"/>
        <w:jc w:val="center"/>
        <w:rPr>
          <w:b/>
          <w:bCs/>
        </w:rPr>
      </w:pPr>
      <w:r>
        <w:rPr>
          <w:rFonts w:hint="eastAsia"/>
          <w:b/>
          <w:bCs/>
        </w:rPr>
        <w:t>维修项目和清单</w:t>
      </w:r>
    </w:p>
    <w:tbl>
      <w:tblPr>
        <w:tblStyle w:val="13"/>
        <w:tblW w:w="5000" w:type="pct"/>
        <w:tblInd w:w="0" w:type="dxa"/>
        <w:tblLayout w:type="autofit"/>
        <w:tblCellMar>
          <w:top w:w="0" w:type="dxa"/>
          <w:left w:w="108" w:type="dxa"/>
          <w:bottom w:w="0" w:type="dxa"/>
          <w:right w:w="108" w:type="dxa"/>
        </w:tblCellMar>
      </w:tblPr>
      <w:tblGrid>
        <w:gridCol w:w="1278"/>
        <w:gridCol w:w="1732"/>
        <w:gridCol w:w="772"/>
        <w:gridCol w:w="714"/>
        <w:gridCol w:w="1140"/>
        <w:gridCol w:w="1135"/>
        <w:gridCol w:w="1751"/>
      </w:tblGrid>
      <w:tr w14:paraId="53102470">
        <w:tblPrEx>
          <w:tblCellMar>
            <w:top w:w="0" w:type="dxa"/>
            <w:left w:w="108" w:type="dxa"/>
            <w:bottom w:w="0" w:type="dxa"/>
            <w:right w:w="108" w:type="dxa"/>
          </w:tblCellMar>
        </w:tblPrEx>
        <w:trPr>
          <w:trHeight w:val="670" w:hRule="atLeast"/>
        </w:trPr>
        <w:tc>
          <w:tcPr>
            <w:tcW w:w="750" w:type="pct"/>
            <w:tcBorders>
              <w:top w:val="single" w:color="auto" w:sz="4" w:space="0"/>
              <w:left w:val="single" w:color="auto" w:sz="4" w:space="0"/>
              <w:bottom w:val="single" w:color="auto" w:sz="4" w:space="0"/>
              <w:right w:val="single" w:color="auto" w:sz="4" w:space="0"/>
            </w:tcBorders>
            <w:vAlign w:val="center"/>
          </w:tcPr>
          <w:p w14:paraId="4B395FEA">
            <w:pPr>
              <w:widowControl/>
              <w:jc w:val="center"/>
              <w:rPr>
                <w:rFonts w:ascii="宋体" w:hAnsi="宋体" w:cs="宋体"/>
                <w:kern w:val="0"/>
                <w:sz w:val="18"/>
                <w:szCs w:val="18"/>
              </w:rPr>
            </w:pPr>
            <w:r>
              <w:rPr>
                <w:rFonts w:hint="eastAsia" w:ascii="宋体" w:hAnsi="宋体" w:cs="宋体"/>
                <w:kern w:val="0"/>
                <w:sz w:val="18"/>
                <w:szCs w:val="18"/>
              </w:rPr>
              <w:t>序号</w:t>
            </w:r>
          </w:p>
        </w:tc>
        <w:tc>
          <w:tcPr>
            <w:tcW w:w="1016" w:type="pct"/>
            <w:tcBorders>
              <w:top w:val="single" w:color="auto" w:sz="4" w:space="0"/>
              <w:left w:val="single" w:color="auto" w:sz="4" w:space="0"/>
              <w:bottom w:val="single" w:color="auto" w:sz="4" w:space="0"/>
              <w:right w:val="single" w:color="auto" w:sz="4" w:space="0"/>
            </w:tcBorders>
            <w:vAlign w:val="center"/>
          </w:tcPr>
          <w:p w14:paraId="4F3BFA48">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453" w:type="pct"/>
            <w:tcBorders>
              <w:top w:val="single" w:color="auto" w:sz="4" w:space="0"/>
              <w:left w:val="single" w:color="auto" w:sz="4" w:space="0"/>
              <w:bottom w:val="single" w:color="auto" w:sz="4" w:space="0"/>
              <w:right w:val="single" w:color="auto" w:sz="4" w:space="0"/>
            </w:tcBorders>
            <w:vAlign w:val="center"/>
          </w:tcPr>
          <w:p w14:paraId="0763CBFB">
            <w:pPr>
              <w:widowControl/>
              <w:jc w:val="center"/>
              <w:rPr>
                <w:rFonts w:ascii="宋体" w:hAnsi="宋体" w:cs="宋体"/>
                <w:kern w:val="0"/>
                <w:sz w:val="18"/>
                <w:szCs w:val="18"/>
              </w:rPr>
            </w:pPr>
            <w:r>
              <w:rPr>
                <w:rFonts w:hint="eastAsia" w:ascii="宋体" w:hAnsi="宋体" w:cs="宋体"/>
                <w:kern w:val="0"/>
                <w:sz w:val="18"/>
                <w:szCs w:val="18"/>
              </w:rPr>
              <w:t>计量</w:t>
            </w:r>
            <w:r>
              <w:rPr>
                <w:rFonts w:hint="eastAsia" w:ascii="宋体" w:hAnsi="宋体" w:cs="宋体"/>
                <w:kern w:val="0"/>
                <w:sz w:val="18"/>
                <w:szCs w:val="18"/>
              </w:rPr>
              <w:br w:type="textWrapping"/>
            </w:r>
            <w:r>
              <w:rPr>
                <w:rFonts w:hint="eastAsia" w:ascii="宋体" w:hAnsi="宋体" w:cs="宋体"/>
                <w:kern w:val="0"/>
                <w:sz w:val="18"/>
                <w:szCs w:val="18"/>
              </w:rPr>
              <w:t>单位</w:t>
            </w:r>
          </w:p>
        </w:tc>
        <w:tc>
          <w:tcPr>
            <w:tcW w:w="419" w:type="pct"/>
            <w:tcBorders>
              <w:top w:val="single" w:color="auto" w:sz="4" w:space="0"/>
              <w:left w:val="single" w:color="auto" w:sz="4" w:space="0"/>
              <w:bottom w:val="single" w:color="auto" w:sz="4" w:space="0"/>
              <w:right w:val="single" w:color="auto" w:sz="4" w:space="0"/>
            </w:tcBorders>
            <w:vAlign w:val="center"/>
          </w:tcPr>
          <w:p w14:paraId="31292DB8">
            <w:pPr>
              <w:widowControl/>
              <w:jc w:val="center"/>
              <w:rPr>
                <w:rFonts w:ascii="宋体" w:hAnsi="宋体" w:cs="宋体"/>
                <w:kern w:val="0"/>
                <w:sz w:val="18"/>
                <w:szCs w:val="18"/>
              </w:rPr>
            </w:pPr>
            <w:r>
              <w:rPr>
                <w:rFonts w:hint="eastAsia" w:ascii="宋体" w:hAnsi="宋体" w:cs="宋体"/>
                <w:kern w:val="0"/>
                <w:sz w:val="18"/>
                <w:szCs w:val="18"/>
              </w:rPr>
              <w:t>工程</w:t>
            </w:r>
            <w:r>
              <w:rPr>
                <w:rFonts w:hint="eastAsia" w:ascii="宋体" w:hAnsi="宋体" w:cs="宋体"/>
                <w:kern w:val="0"/>
                <w:sz w:val="18"/>
                <w:szCs w:val="18"/>
              </w:rPr>
              <w:br w:type="textWrapping"/>
            </w:r>
            <w:r>
              <w:rPr>
                <w:rFonts w:hint="eastAsia" w:ascii="宋体" w:hAnsi="宋体" w:cs="宋体"/>
                <w:kern w:val="0"/>
                <w:sz w:val="18"/>
                <w:szCs w:val="18"/>
              </w:rPr>
              <w:t>数量</w:t>
            </w:r>
          </w:p>
        </w:tc>
        <w:tc>
          <w:tcPr>
            <w:tcW w:w="669" w:type="pct"/>
            <w:tcBorders>
              <w:top w:val="single" w:color="auto" w:sz="4" w:space="0"/>
              <w:left w:val="single" w:color="auto" w:sz="4" w:space="0"/>
              <w:bottom w:val="single" w:color="auto" w:sz="4" w:space="0"/>
              <w:right w:val="single" w:color="auto" w:sz="4" w:space="0"/>
            </w:tcBorders>
          </w:tcPr>
          <w:p w14:paraId="4D047653">
            <w:pPr>
              <w:widowControl/>
              <w:rPr>
                <w:rFonts w:ascii="宋体" w:hAnsi="宋体" w:cs="宋体"/>
                <w:kern w:val="0"/>
                <w:sz w:val="18"/>
                <w:szCs w:val="18"/>
              </w:rPr>
            </w:pPr>
            <w:r>
              <w:rPr>
                <w:rFonts w:hint="eastAsia" w:ascii="宋体" w:hAnsi="宋体" w:cs="宋体"/>
                <w:kern w:val="0"/>
                <w:sz w:val="18"/>
                <w:szCs w:val="18"/>
              </w:rPr>
              <w:t>不含税综合单价</w:t>
            </w:r>
          </w:p>
        </w:tc>
        <w:tc>
          <w:tcPr>
            <w:tcW w:w="666" w:type="pct"/>
            <w:tcBorders>
              <w:top w:val="single" w:color="auto" w:sz="4" w:space="0"/>
              <w:left w:val="single" w:color="auto" w:sz="4" w:space="0"/>
              <w:bottom w:val="single" w:color="auto" w:sz="4" w:space="0"/>
              <w:right w:val="single" w:color="auto" w:sz="4" w:space="0"/>
            </w:tcBorders>
          </w:tcPr>
          <w:p w14:paraId="1E78FAD2">
            <w:pPr>
              <w:widowControl/>
              <w:jc w:val="center"/>
              <w:rPr>
                <w:rFonts w:ascii="宋体" w:hAnsi="宋体" w:cs="宋体"/>
                <w:kern w:val="0"/>
                <w:sz w:val="18"/>
                <w:szCs w:val="18"/>
              </w:rPr>
            </w:pPr>
            <w:r>
              <w:rPr>
                <w:rFonts w:hint="eastAsia" w:ascii="宋体" w:hAnsi="宋体" w:cs="宋体"/>
                <w:kern w:val="0"/>
                <w:sz w:val="18"/>
                <w:szCs w:val="18"/>
              </w:rPr>
              <w:t>含税综合单价</w:t>
            </w:r>
          </w:p>
        </w:tc>
        <w:tc>
          <w:tcPr>
            <w:tcW w:w="1027" w:type="pct"/>
            <w:tcBorders>
              <w:top w:val="single" w:color="auto" w:sz="4" w:space="0"/>
              <w:left w:val="single" w:color="auto" w:sz="4" w:space="0"/>
              <w:bottom w:val="single" w:color="auto" w:sz="4" w:space="0"/>
              <w:right w:val="single" w:color="auto" w:sz="4" w:space="0"/>
            </w:tcBorders>
          </w:tcPr>
          <w:p w14:paraId="30294157">
            <w:pPr>
              <w:widowControl/>
              <w:jc w:val="center"/>
              <w:rPr>
                <w:rFonts w:ascii="宋体" w:hAnsi="宋体" w:cs="宋体"/>
                <w:kern w:val="0"/>
                <w:sz w:val="18"/>
                <w:szCs w:val="18"/>
              </w:rPr>
            </w:pPr>
            <w:r>
              <w:rPr>
                <w:rFonts w:hint="eastAsia" w:ascii="宋体" w:hAnsi="宋体" w:cs="宋体"/>
                <w:kern w:val="0"/>
                <w:sz w:val="18"/>
                <w:szCs w:val="18"/>
              </w:rPr>
              <w:t>含税合计</w:t>
            </w:r>
          </w:p>
        </w:tc>
      </w:tr>
      <w:tr w14:paraId="35DD68D1">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5A4D5D8B">
            <w:pPr>
              <w:widowControl/>
              <w:jc w:val="center"/>
              <w:rPr>
                <w:rFonts w:ascii="宋体" w:hAnsi="宋体" w:cs="宋体"/>
                <w:kern w:val="0"/>
                <w:sz w:val="18"/>
                <w:szCs w:val="18"/>
              </w:rPr>
            </w:pPr>
            <w:r>
              <w:rPr>
                <w:rFonts w:hint="eastAsia" w:ascii="宋体" w:hAnsi="宋体" w:cs="宋体"/>
                <w:kern w:val="0"/>
                <w:sz w:val="18"/>
                <w:szCs w:val="18"/>
              </w:rPr>
              <w:t>一</w:t>
            </w:r>
          </w:p>
        </w:tc>
        <w:tc>
          <w:tcPr>
            <w:tcW w:w="4250" w:type="pct"/>
            <w:gridSpan w:val="6"/>
            <w:tcBorders>
              <w:top w:val="single" w:color="auto" w:sz="4" w:space="0"/>
              <w:left w:val="nil"/>
              <w:bottom w:val="single" w:color="auto" w:sz="4" w:space="0"/>
              <w:right w:val="single" w:color="auto" w:sz="4" w:space="0"/>
            </w:tcBorders>
            <w:vAlign w:val="center"/>
          </w:tcPr>
          <w:p w14:paraId="3FC07728">
            <w:pPr>
              <w:widowControl/>
              <w:jc w:val="left"/>
              <w:rPr>
                <w:rFonts w:ascii="宋体" w:hAnsi="宋体" w:cs="宋体"/>
                <w:kern w:val="0"/>
                <w:sz w:val="18"/>
                <w:szCs w:val="18"/>
              </w:rPr>
            </w:pPr>
            <w:r>
              <w:rPr>
                <w:rFonts w:hint="eastAsia" w:ascii="宋体" w:hAnsi="宋体" w:cs="宋体"/>
                <w:kern w:val="0"/>
                <w:sz w:val="18"/>
                <w:szCs w:val="18"/>
              </w:rPr>
              <w:t>湿式报警阀组移位及喷淋头</w:t>
            </w:r>
          </w:p>
        </w:tc>
      </w:tr>
      <w:tr w14:paraId="04DB52F3">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2D7CBD45">
            <w:pPr>
              <w:widowControl/>
              <w:jc w:val="center"/>
              <w:rPr>
                <w:rFonts w:ascii="宋体" w:hAnsi="宋体" w:cs="宋体"/>
                <w:kern w:val="0"/>
                <w:sz w:val="18"/>
                <w:szCs w:val="18"/>
              </w:rPr>
            </w:pPr>
            <w:r>
              <w:rPr>
                <w:rFonts w:hint="eastAsia" w:ascii="宋体" w:hAnsi="宋体" w:cs="宋体"/>
                <w:kern w:val="0"/>
                <w:sz w:val="18"/>
                <w:szCs w:val="18"/>
              </w:rPr>
              <w:t>1</w:t>
            </w:r>
          </w:p>
        </w:tc>
        <w:tc>
          <w:tcPr>
            <w:tcW w:w="1016" w:type="pct"/>
            <w:tcBorders>
              <w:top w:val="single" w:color="auto" w:sz="4" w:space="0"/>
              <w:left w:val="nil"/>
              <w:bottom w:val="single" w:color="auto" w:sz="4" w:space="0"/>
              <w:right w:val="single" w:color="auto" w:sz="4" w:space="0"/>
            </w:tcBorders>
            <w:vAlign w:val="center"/>
          </w:tcPr>
          <w:p w14:paraId="237AC733">
            <w:pPr>
              <w:widowControl/>
              <w:jc w:val="left"/>
              <w:rPr>
                <w:rFonts w:ascii="宋体" w:hAnsi="宋体" w:cs="宋体"/>
                <w:kern w:val="0"/>
                <w:sz w:val="18"/>
                <w:szCs w:val="18"/>
              </w:rPr>
            </w:pPr>
            <w:r>
              <w:rPr>
                <w:rFonts w:hint="eastAsia" w:ascii="宋体" w:hAnsi="宋体" w:cs="宋体"/>
                <w:kern w:val="0"/>
                <w:sz w:val="18"/>
                <w:szCs w:val="18"/>
              </w:rPr>
              <w:t>水喷淋镀锌钢管DN100</w:t>
            </w:r>
          </w:p>
        </w:tc>
        <w:tc>
          <w:tcPr>
            <w:tcW w:w="453" w:type="pct"/>
            <w:tcBorders>
              <w:top w:val="single" w:color="auto" w:sz="4" w:space="0"/>
              <w:left w:val="nil"/>
              <w:bottom w:val="single" w:color="auto" w:sz="4" w:space="0"/>
              <w:right w:val="single" w:color="auto" w:sz="4" w:space="0"/>
            </w:tcBorders>
            <w:noWrap/>
            <w:vAlign w:val="center"/>
          </w:tcPr>
          <w:p w14:paraId="16DA0A68">
            <w:pPr>
              <w:widowControl/>
              <w:jc w:val="center"/>
              <w:rPr>
                <w:rFonts w:ascii="宋体" w:hAnsi="宋体" w:cs="宋体"/>
                <w:kern w:val="0"/>
                <w:sz w:val="18"/>
                <w:szCs w:val="18"/>
              </w:rPr>
            </w:pPr>
            <w:r>
              <w:rPr>
                <w:rFonts w:hint="eastAsia" w:ascii="宋体" w:hAnsi="宋体" w:cs="宋体"/>
                <w:kern w:val="0"/>
                <w:sz w:val="18"/>
                <w:szCs w:val="18"/>
              </w:rPr>
              <w:t>m</w:t>
            </w:r>
          </w:p>
        </w:tc>
        <w:tc>
          <w:tcPr>
            <w:tcW w:w="419" w:type="pct"/>
            <w:tcBorders>
              <w:top w:val="single" w:color="auto" w:sz="4" w:space="0"/>
              <w:left w:val="single" w:color="auto" w:sz="4" w:space="0"/>
              <w:bottom w:val="single" w:color="auto" w:sz="4" w:space="0"/>
              <w:right w:val="single" w:color="auto" w:sz="4" w:space="0"/>
            </w:tcBorders>
            <w:noWrap/>
            <w:vAlign w:val="center"/>
          </w:tcPr>
          <w:p w14:paraId="68D58599">
            <w:pPr>
              <w:widowControl/>
              <w:jc w:val="center"/>
              <w:rPr>
                <w:rFonts w:ascii="宋体" w:hAnsi="宋体" w:cs="宋体"/>
                <w:kern w:val="0"/>
                <w:sz w:val="18"/>
                <w:szCs w:val="18"/>
              </w:rPr>
            </w:pPr>
            <w:r>
              <w:rPr>
                <w:rFonts w:hint="eastAsia" w:ascii="宋体" w:hAnsi="宋体" w:cs="宋体"/>
                <w:kern w:val="0"/>
                <w:sz w:val="18"/>
                <w:szCs w:val="18"/>
              </w:rPr>
              <w:t xml:space="preserve">3 </w:t>
            </w:r>
          </w:p>
        </w:tc>
        <w:tc>
          <w:tcPr>
            <w:tcW w:w="669" w:type="pct"/>
            <w:tcBorders>
              <w:top w:val="single" w:color="auto" w:sz="4" w:space="0"/>
              <w:left w:val="single" w:color="auto" w:sz="4" w:space="0"/>
              <w:bottom w:val="single" w:color="auto" w:sz="4" w:space="0"/>
              <w:right w:val="single" w:color="auto" w:sz="4" w:space="0"/>
            </w:tcBorders>
          </w:tcPr>
          <w:p w14:paraId="46EFCD94">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7275A427">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3B34D1E4">
            <w:pPr>
              <w:widowControl/>
              <w:jc w:val="left"/>
              <w:rPr>
                <w:rFonts w:ascii="Times New Roman" w:hAnsi="Times New Roman" w:eastAsia="Times New Roman"/>
                <w:kern w:val="0"/>
                <w:sz w:val="20"/>
                <w:szCs w:val="20"/>
              </w:rPr>
            </w:pPr>
          </w:p>
        </w:tc>
      </w:tr>
      <w:tr w14:paraId="65D8EE98">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141547C0">
            <w:pPr>
              <w:widowControl/>
              <w:jc w:val="center"/>
              <w:rPr>
                <w:rFonts w:ascii="宋体" w:hAnsi="宋体" w:cs="宋体"/>
                <w:kern w:val="0"/>
                <w:sz w:val="18"/>
                <w:szCs w:val="18"/>
              </w:rPr>
            </w:pPr>
            <w:r>
              <w:rPr>
                <w:rFonts w:hint="eastAsia" w:ascii="宋体" w:hAnsi="宋体" w:cs="宋体"/>
                <w:kern w:val="0"/>
                <w:sz w:val="18"/>
                <w:szCs w:val="18"/>
              </w:rPr>
              <w:t>2</w:t>
            </w:r>
          </w:p>
        </w:tc>
        <w:tc>
          <w:tcPr>
            <w:tcW w:w="1016" w:type="pct"/>
            <w:tcBorders>
              <w:top w:val="single" w:color="auto" w:sz="4" w:space="0"/>
              <w:left w:val="nil"/>
              <w:bottom w:val="single" w:color="auto" w:sz="4" w:space="0"/>
              <w:right w:val="single" w:color="auto" w:sz="4" w:space="0"/>
            </w:tcBorders>
            <w:vAlign w:val="center"/>
          </w:tcPr>
          <w:p w14:paraId="30B4D653">
            <w:pPr>
              <w:widowControl/>
              <w:jc w:val="left"/>
              <w:rPr>
                <w:rFonts w:ascii="宋体" w:hAnsi="宋体" w:cs="宋体"/>
                <w:kern w:val="0"/>
                <w:sz w:val="18"/>
                <w:szCs w:val="18"/>
              </w:rPr>
            </w:pPr>
            <w:r>
              <w:rPr>
                <w:rFonts w:hint="eastAsia" w:ascii="宋体" w:hAnsi="宋体" w:cs="宋体"/>
                <w:kern w:val="0"/>
                <w:sz w:val="18"/>
                <w:szCs w:val="18"/>
              </w:rPr>
              <w:t>水喷淋镀锌钢管DN50</w:t>
            </w:r>
          </w:p>
        </w:tc>
        <w:tc>
          <w:tcPr>
            <w:tcW w:w="453" w:type="pct"/>
            <w:tcBorders>
              <w:top w:val="single" w:color="auto" w:sz="4" w:space="0"/>
              <w:left w:val="nil"/>
              <w:bottom w:val="single" w:color="auto" w:sz="4" w:space="0"/>
              <w:right w:val="single" w:color="auto" w:sz="4" w:space="0"/>
            </w:tcBorders>
            <w:noWrap/>
            <w:vAlign w:val="center"/>
          </w:tcPr>
          <w:p w14:paraId="5EF88A45">
            <w:pPr>
              <w:widowControl/>
              <w:jc w:val="center"/>
              <w:rPr>
                <w:rFonts w:ascii="宋体" w:hAnsi="宋体" w:cs="宋体"/>
                <w:kern w:val="0"/>
                <w:sz w:val="18"/>
                <w:szCs w:val="18"/>
              </w:rPr>
            </w:pPr>
            <w:r>
              <w:rPr>
                <w:rFonts w:hint="eastAsia" w:ascii="宋体" w:hAnsi="宋体" w:cs="宋体"/>
                <w:kern w:val="0"/>
                <w:sz w:val="18"/>
                <w:szCs w:val="18"/>
              </w:rPr>
              <w:t>m</w:t>
            </w:r>
          </w:p>
        </w:tc>
        <w:tc>
          <w:tcPr>
            <w:tcW w:w="419" w:type="pct"/>
            <w:tcBorders>
              <w:top w:val="single" w:color="auto" w:sz="4" w:space="0"/>
              <w:left w:val="single" w:color="auto" w:sz="4" w:space="0"/>
              <w:bottom w:val="single" w:color="auto" w:sz="4" w:space="0"/>
              <w:right w:val="single" w:color="auto" w:sz="4" w:space="0"/>
            </w:tcBorders>
            <w:noWrap/>
            <w:vAlign w:val="center"/>
          </w:tcPr>
          <w:p w14:paraId="3325A41A">
            <w:pPr>
              <w:widowControl/>
              <w:jc w:val="center"/>
              <w:rPr>
                <w:rFonts w:ascii="宋体" w:hAnsi="宋体" w:cs="宋体"/>
                <w:kern w:val="0"/>
                <w:sz w:val="18"/>
                <w:szCs w:val="18"/>
              </w:rPr>
            </w:pPr>
            <w:r>
              <w:rPr>
                <w:rFonts w:hint="eastAsia" w:ascii="宋体" w:hAnsi="宋体" w:cs="宋体"/>
                <w:kern w:val="0"/>
                <w:sz w:val="18"/>
                <w:szCs w:val="18"/>
              </w:rPr>
              <w:t xml:space="preserve">2 </w:t>
            </w:r>
          </w:p>
        </w:tc>
        <w:tc>
          <w:tcPr>
            <w:tcW w:w="669" w:type="pct"/>
            <w:tcBorders>
              <w:top w:val="single" w:color="auto" w:sz="4" w:space="0"/>
              <w:left w:val="single" w:color="auto" w:sz="4" w:space="0"/>
              <w:bottom w:val="single" w:color="auto" w:sz="4" w:space="0"/>
              <w:right w:val="single" w:color="auto" w:sz="4" w:space="0"/>
            </w:tcBorders>
          </w:tcPr>
          <w:p w14:paraId="7C3EB8D3">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031B62A9">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7881E1D8">
            <w:pPr>
              <w:widowControl/>
              <w:jc w:val="left"/>
              <w:rPr>
                <w:rFonts w:ascii="Times New Roman" w:hAnsi="Times New Roman" w:eastAsia="Times New Roman"/>
                <w:kern w:val="0"/>
                <w:sz w:val="20"/>
                <w:szCs w:val="20"/>
              </w:rPr>
            </w:pPr>
          </w:p>
        </w:tc>
      </w:tr>
      <w:tr w14:paraId="323B9314">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1780C49B">
            <w:pPr>
              <w:widowControl/>
              <w:jc w:val="center"/>
              <w:rPr>
                <w:rFonts w:ascii="宋体" w:hAnsi="宋体" w:cs="宋体"/>
                <w:kern w:val="0"/>
                <w:sz w:val="18"/>
                <w:szCs w:val="18"/>
              </w:rPr>
            </w:pPr>
            <w:r>
              <w:rPr>
                <w:rFonts w:hint="eastAsia" w:ascii="宋体" w:hAnsi="宋体" w:cs="宋体"/>
                <w:kern w:val="0"/>
                <w:sz w:val="18"/>
                <w:szCs w:val="18"/>
              </w:rPr>
              <w:t>3</w:t>
            </w:r>
          </w:p>
        </w:tc>
        <w:tc>
          <w:tcPr>
            <w:tcW w:w="1016" w:type="pct"/>
            <w:tcBorders>
              <w:top w:val="single" w:color="auto" w:sz="4" w:space="0"/>
              <w:left w:val="nil"/>
              <w:bottom w:val="single" w:color="auto" w:sz="4" w:space="0"/>
              <w:right w:val="single" w:color="auto" w:sz="4" w:space="0"/>
            </w:tcBorders>
            <w:vAlign w:val="center"/>
          </w:tcPr>
          <w:p w14:paraId="16F2127E">
            <w:pPr>
              <w:widowControl/>
              <w:jc w:val="left"/>
              <w:rPr>
                <w:rFonts w:ascii="宋体" w:hAnsi="宋体" w:cs="宋体"/>
                <w:kern w:val="0"/>
                <w:sz w:val="18"/>
                <w:szCs w:val="18"/>
              </w:rPr>
            </w:pPr>
            <w:r>
              <w:rPr>
                <w:rFonts w:hint="eastAsia" w:ascii="宋体" w:hAnsi="宋体" w:cs="宋体"/>
                <w:kern w:val="0"/>
                <w:sz w:val="18"/>
                <w:szCs w:val="18"/>
              </w:rPr>
              <w:t>闸阀移位安装   DN100</w:t>
            </w:r>
          </w:p>
        </w:tc>
        <w:tc>
          <w:tcPr>
            <w:tcW w:w="453" w:type="pct"/>
            <w:tcBorders>
              <w:top w:val="single" w:color="auto" w:sz="4" w:space="0"/>
              <w:left w:val="nil"/>
              <w:bottom w:val="single" w:color="auto" w:sz="4" w:space="0"/>
              <w:right w:val="single" w:color="auto" w:sz="4" w:space="0"/>
            </w:tcBorders>
            <w:noWrap/>
            <w:vAlign w:val="center"/>
          </w:tcPr>
          <w:p w14:paraId="000E0475">
            <w:pPr>
              <w:widowControl/>
              <w:jc w:val="center"/>
              <w:rPr>
                <w:rFonts w:ascii="宋体" w:hAnsi="宋体" w:cs="宋体"/>
                <w:kern w:val="0"/>
                <w:sz w:val="18"/>
                <w:szCs w:val="18"/>
              </w:rPr>
            </w:pPr>
            <w:r>
              <w:rPr>
                <w:rFonts w:hint="eastAsia" w:ascii="宋体" w:hAnsi="宋体" w:cs="宋体"/>
                <w:kern w:val="0"/>
                <w:sz w:val="18"/>
                <w:szCs w:val="18"/>
              </w:rPr>
              <w:t>个</w:t>
            </w:r>
          </w:p>
        </w:tc>
        <w:tc>
          <w:tcPr>
            <w:tcW w:w="419" w:type="pct"/>
            <w:tcBorders>
              <w:top w:val="single" w:color="auto" w:sz="4" w:space="0"/>
              <w:left w:val="single" w:color="auto" w:sz="4" w:space="0"/>
              <w:bottom w:val="single" w:color="auto" w:sz="4" w:space="0"/>
              <w:right w:val="single" w:color="auto" w:sz="4" w:space="0"/>
            </w:tcBorders>
            <w:noWrap/>
            <w:vAlign w:val="center"/>
          </w:tcPr>
          <w:p w14:paraId="0245E091">
            <w:pPr>
              <w:widowControl/>
              <w:jc w:val="center"/>
              <w:rPr>
                <w:rFonts w:ascii="宋体" w:hAnsi="宋体" w:cs="宋体"/>
                <w:kern w:val="0"/>
                <w:sz w:val="18"/>
                <w:szCs w:val="18"/>
              </w:rPr>
            </w:pPr>
            <w:r>
              <w:rPr>
                <w:rFonts w:hint="eastAsia" w:ascii="宋体" w:hAnsi="宋体" w:cs="宋体"/>
                <w:kern w:val="0"/>
                <w:sz w:val="18"/>
                <w:szCs w:val="18"/>
              </w:rPr>
              <w:t xml:space="preserve">1 </w:t>
            </w:r>
          </w:p>
        </w:tc>
        <w:tc>
          <w:tcPr>
            <w:tcW w:w="669" w:type="pct"/>
            <w:tcBorders>
              <w:top w:val="single" w:color="auto" w:sz="4" w:space="0"/>
              <w:left w:val="single" w:color="auto" w:sz="4" w:space="0"/>
              <w:bottom w:val="single" w:color="auto" w:sz="4" w:space="0"/>
              <w:right w:val="single" w:color="auto" w:sz="4" w:space="0"/>
            </w:tcBorders>
          </w:tcPr>
          <w:p w14:paraId="7986A978">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13F88B9E">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2DC9CF56">
            <w:pPr>
              <w:widowControl/>
              <w:jc w:val="left"/>
              <w:rPr>
                <w:rFonts w:ascii="Times New Roman" w:hAnsi="Times New Roman" w:eastAsia="Times New Roman"/>
                <w:kern w:val="0"/>
                <w:sz w:val="20"/>
                <w:szCs w:val="20"/>
              </w:rPr>
            </w:pPr>
          </w:p>
        </w:tc>
      </w:tr>
      <w:tr w14:paraId="5248AE33">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5F311C00">
            <w:pPr>
              <w:widowControl/>
              <w:jc w:val="center"/>
              <w:rPr>
                <w:rFonts w:ascii="宋体" w:hAnsi="宋体" w:cs="宋体"/>
                <w:kern w:val="0"/>
                <w:sz w:val="18"/>
                <w:szCs w:val="18"/>
              </w:rPr>
            </w:pPr>
            <w:r>
              <w:rPr>
                <w:rFonts w:hint="eastAsia" w:ascii="宋体" w:hAnsi="宋体" w:cs="宋体"/>
                <w:kern w:val="0"/>
                <w:sz w:val="18"/>
                <w:szCs w:val="18"/>
              </w:rPr>
              <w:t>4</w:t>
            </w:r>
          </w:p>
        </w:tc>
        <w:tc>
          <w:tcPr>
            <w:tcW w:w="1016" w:type="pct"/>
            <w:tcBorders>
              <w:top w:val="nil"/>
              <w:left w:val="nil"/>
              <w:bottom w:val="single" w:color="auto" w:sz="4" w:space="0"/>
              <w:right w:val="single" w:color="auto" w:sz="4" w:space="0"/>
            </w:tcBorders>
            <w:vAlign w:val="center"/>
          </w:tcPr>
          <w:p w14:paraId="2AFF0EEF">
            <w:pPr>
              <w:widowControl/>
              <w:jc w:val="left"/>
              <w:rPr>
                <w:rFonts w:ascii="宋体" w:hAnsi="宋体" w:cs="宋体"/>
                <w:kern w:val="0"/>
                <w:sz w:val="18"/>
                <w:szCs w:val="18"/>
              </w:rPr>
            </w:pPr>
            <w:r>
              <w:rPr>
                <w:rFonts w:hint="eastAsia" w:ascii="宋体" w:hAnsi="宋体" w:cs="宋体"/>
                <w:kern w:val="0"/>
                <w:sz w:val="18"/>
                <w:szCs w:val="18"/>
              </w:rPr>
              <w:t>湿式报警阀移位安装  DN100</w:t>
            </w:r>
          </w:p>
        </w:tc>
        <w:tc>
          <w:tcPr>
            <w:tcW w:w="453" w:type="pct"/>
            <w:tcBorders>
              <w:top w:val="single" w:color="auto" w:sz="4" w:space="0"/>
              <w:left w:val="nil"/>
              <w:bottom w:val="single" w:color="auto" w:sz="4" w:space="0"/>
              <w:right w:val="single" w:color="auto" w:sz="4" w:space="0"/>
            </w:tcBorders>
            <w:noWrap/>
            <w:vAlign w:val="center"/>
          </w:tcPr>
          <w:p w14:paraId="153D03C0">
            <w:pPr>
              <w:widowControl/>
              <w:jc w:val="center"/>
              <w:rPr>
                <w:rFonts w:ascii="宋体" w:hAnsi="宋体" w:cs="宋体"/>
                <w:kern w:val="0"/>
                <w:sz w:val="18"/>
                <w:szCs w:val="18"/>
              </w:rPr>
            </w:pPr>
            <w:r>
              <w:rPr>
                <w:rFonts w:hint="eastAsia" w:ascii="宋体" w:hAnsi="宋体" w:cs="宋体"/>
                <w:kern w:val="0"/>
                <w:sz w:val="18"/>
                <w:szCs w:val="18"/>
              </w:rPr>
              <w:t>组</w:t>
            </w:r>
          </w:p>
        </w:tc>
        <w:tc>
          <w:tcPr>
            <w:tcW w:w="419" w:type="pct"/>
            <w:tcBorders>
              <w:top w:val="single" w:color="auto" w:sz="4" w:space="0"/>
              <w:left w:val="single" w:color="auto" w:sz="4" w:space="0"/>
              <w:bottom w:val="single" w:color="auto" w:sz="4" w:space="0"/>
              <w:right w:val="single" w:color="auto" w:sz="4" w:space="0"/>
            </w:tcBorders>
            <w:noWrap/>
            <w:vAlign w:val="center"/>
          </w:tcPr>
          <w:p w14:paraId="2CF547F7">
            <w:pPr>
              <w:widowControl/>
              <w:jc w:val="center"/>
              <w:rPr>
                <w:rFonts w:ascii="宋体" w:hAnsi="宋体" w:cs="宋体"/>
                <w:kern w:val="0"/>
                <w:sz w:val="18"/>
                <w:szCs w:val="18"/>
              </w:rPr>
            </w:pPr>
            <w:r>
              <w:rPr>
                <w:rFonts w:hint="eastAsia" w:ascii="宋体" w:hAnsi="宋体" w:cs="宋体"/>
                <w:kern w:val="0"/>
                <w:sz w:val="18"/>
                <w:szCs w:val="18"/>
              </w:rPr>
              <w:t xml:space="preserve">1 </w:t>
            </w:r>
          </w:p>
        </w:tc>
        <w:tc>
          <w:tcPr>
            <w:tcW w:w="669" w:type="pct"/>
            <w:tcBorders>
              <w:top w:val="single" w:color="auto" w:sz="4" w:space="0"/>
              <w:left w:val="single" w:color="auto" w:sz="4" w:space="0"/>
              <w:bottom w:val="single" w:color="auto" w:sz="4" w:space="0"/>
              <w:right w:val="single" w:color="auto" w:sz="4" w:space="0"/>
            </w:tcBorders>
          </w:tcPr>
          <w:p w14:paraId="691780F2">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5509858E">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09A0199F">
            <w:pPr>
              <w:widowControl/>
              <w:jc w:val="left"/>
              <w:rPr>
                <w:rFonts w:ascii="Times New Roman" w:hAnsi="Times New Roman" w:eastAsia="Times New Roman"/>
                <w:kern w:val="0"/>
                <w:sz w:val="20"/>
                <w:szCs w:val="20"/>
              </w:rPr>
            </w:pPr>
          </w:p>
        </w:tc>
      </w:tr>
      <w:tr w14:paraId="712F23D3">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4728395F">
            <w:pPr>
              <w:widowControl/>
              <w:jc w:val="center"/>
              <w:rPr>
                <w:rFonts w:ascii="宋体" w:hAnsi="宋体" w:cs="宋体"/>
                <w:kern w:val="0"/>
                <w:sz w:val="18"/>
                <w:szCs w:val="18"/>
              </w:rPr>
            </w:pPr>
            <w:r>
              <w:rPr>
                <w:rFonts w:hint="eastAsia" w:ascii="宋体" w:hAnsi="宋体" w:cs="宋体"/>
                <w:kern w:val="0"/>
                <w:sz w:val="18"/>
                <w:szCs w:val="18"/>
              </w:rPr>
              <w:t>5</w:t>
            </w:r>
          </w:p>
        </w:tc>
        <w:tc>
          <w:tcPr>
            <w:tcW w:w="1016" w:type="pct"/>
            <w:tcBorders>
              <w:top w:val="nil"/>
              <w:left w:val="nil"/>
              <w:bottom w:val="single" w:color="auto" w:sz="4" w:space="0"/>
              <w:right w:val="single" w:color="auto" w:sz="4" w:space="0"/>
            </w:tcBorders>
            <w:vAlign w:val="center"/>
          </w:tcPr>
          <w:p w14:paraId="482D43B9">
            <w:pPr>
              <w:widowControl/>
              <w:jc w:val="left"/>
              <w:rPr>
                <w:rFonts w:ascii="宋体" w:hAnsi="宋体" w:cs="宋体"/>
                <w:kern w:val="0"/>
                <w:sz w:val="18"/>
                <w:szCs w:val="18"/>
              </w:rPr>
            </w:pPr>
            <w:r>
              <w:rPr>
                <w:rFonts w:hint="eastAsia" w:ascii="宋体" w:hAnsi="宋体" w:cs="宋体"/>
                <w:kern w:val="0"/>
                <w:sz w:val="18"/>
                <w:szCs w:val="18"/>
              </w:rPr>
              <w:t>电线路移位安装</w:t>
            </w:r>
          </w:p>
        </w:tc>
        <w:tc>
          <w:tcPr>
            <w:tcW w:w="453" w:type="pct"/>
            <w:tcBorders>
              <w:top w:val="single" w:color="auto" w:sz="4" w:space="0"/>
              <w:left w:val="nil"/>
              <w:bottom w:val="single" w:color="auto" w:sz="4" w:space="0"/>
              <w:right w:val="single" w:color="auto" w:sz="4" w:space="0"/>
            </w:tcBorders>
            <w:noWrap/>
            <w:vAlign w:val="center"/>
          </w:tcPr>
          <w:p w14:paraId="0FB9302D">
            <w:pPr>
              <w:widowControl/>
              <w:jc w:val="center"/>
              <w:rPr>
                <w:rFonts w:ascii="宋体" w:hAnsi="宋体" w:cs="宋体"/>
                <w:kern w:val="0"/>
                <w:sz w:val="18"/>
                <w:szCs w:val="18"/>
              </w:rPr>
            </w:pPr>
            <w:r>
              <w:rPr>
                <w:rFonts w:hint="eastAsia" w:ascii="宋体" w:hAnsi="宋体" w:cs="宋体"/>
                <w:kern w:val="0"/>
                <w:sz w:val="18"/>
                <w:szCs w:val="18"/>
              </w:rPr>
              <w:t>项</w:t>
            </w:r>
          </w:p>
        </w:tc>
        <w:tc>
          <w:tcPr>
            <w:tcW w:w="419" w:type="pct"/>
            <w:tcBorders>
              <w:top w:val="single" w:color="auto" w:sz="4" w:space="0"/>
              <w:left w:val="single" w:color="auto" w:sz="4" w:space="0"/>
              <w:bottom w:val="single" w:color="auto" w:sz="4" w:space="0"/>
              <w:right w:val="single" w:color="auto" w:sz="4" w:space="0"/>
            </w:tcBorders>
            <w:noWrap/>
            <w:vAlign w:val="center"/>
          </w:tcPr>
          <w:p w14:paraId="11B8B304">
            <w:pPr>
              <w:widowControl/>
              <w:jc w:val="center"/>
              <w:rPr>
                <w:rFonts w:ascii="宋体" w:hAnsi="宋体" w:cs="宋体"/>
                <w:kern w:val="0"/>
                <w:sz w:val="18"/>
                <w:szCs w:val="18"/>
              </w:rPr>
            </w:pPr>
            <w:r>
              <w:rPr>
                <w:rFonts w:hint="eastAsia" w:ascii="宋体" w:hAnsi="宋体" w:cs="宋体"/>
                <w:kern w:val="0"/>
                <w:sz w:val="18"/>
                <w:szCs w:val="18"/>
              </w:rPr>
              <w:t xml:space="preserve">1 </w:t>
            </w:r>
          </w:p>
        </w:tc>
        <w:tc>
          <w:tcPr>
            <w:tcW w:w="669" w:type="pct"/>
            <w:tcBorders>
              <w:top w:val="single" w:color="auto" w:sz="4" w:space="0"/>
              <w:left w:val="single" w:color="auto" w:sz="4" w:space="0"/>
              <w:bottom w:val="single" w:color="auto" w:sz="4" w:space="0"/>
              <w:right w:val="single" w:color="auto" w:sz="4" w:space="0"/>
            </w:tcBorders>
          </w:tcPr>
          <w:p w14:paraId="3C07B9B2">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164AFA56">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550F9DED">
            <w:pPr>
              <w:widowControl/>
              <w:jc w:val="left"/>
              <w:rPr>
                <w:rFonts w:ascii="Times New Roman" w:hAnsi="Times New Roman" w:eastAsia="Times New Roman"/>
                <w:kern w:val="0"/>
                <w:sz w:val="20"/>
                <w:szCs w:val="20"/>
              </w:rPr>
            </w:pPr>
          </w:p>
        </w:tc>
      </w:tr>
      <w:tr w14:paraId="6A9C5381">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444D61ED">
            <w:pPr>
              <w:widowControl/>
              <w:jc w:val="center"/>
              <w:rPr>
                <w:rFonts w:ascii="宋体" w:hAnsi="宋体" w:cs="宋体"/>
                <w:kern w:val="0"/>
                <w:sz w:val="18"/>
                <w:szCs w:val="18"/>
              </w:rPr>
            </w:pPr>
            <w:r>
              <w:rPr>
                <w:rFonts w:hint="eastAsia" w:ascii="宋体" w:hAnsi="宋体" w:cs="宋体"/>
                <w:kern w:val="0"/>
                <w:sz w:val="18"/>
                <w:szCs w:val="18"/>
              </w:rPr>
              <w:t>6</w:t>
            </w:r>
          </w:p>
        </w:tc>
        <w:tc>
          <w:tcPr>
            <w:tcW w:w="1016" w:type="pct"/>
            <w:tcBorders>
              <w:top w:val="nil"/>
              <w:left w:val="nil"/>
              <w:bottom w:val="single" w:color="auto" w:sz="4" w:space="0"/>
              <w:right w:val="single" w:color="auto" w:sz="4" w:space="0"/>
            </w:tcBorders>
            <w:vAlign w:val="center"/>
          </w:tcPr>
          <w:p w14:paraId="55F19AD5">
            <w:pPr>
              <w:widowControl/>
              <w:jc w:val="left"/>
              <w:rPr>
                <w:rFonts w:ascii="宋体" w:hAnsi="宋体" w:cs="宋体"/>
                <w:kern w:val="0"/>
                <w:sz w:val="18"/>
                <w:szCs w:val="18"/>
              </w:rPr>
            </w:pPr>
            <w:r>
              <w:rPr>
                <w:rFonts w:hint="eastAsia" w:ascii="宋体" w:hAnsi="宋体" w:cs="宋体"/>
                <w:kern w:val="0"/>
                <w:sz w:val="18"/>
                <w:szCs w:val="18"/>
              </w:rPr>
              <w:t>自动喷淋系统通水试验</w:t>
            </w:r>
          </w:p>
        </w:tc>
        <w:tc>
          <w:tcPr>
            <w:tcW w:w="453" w:type="pct"/>
            <w:tcBorders>
              <w:top w:val="single" w:color="auto" w:sz="4" w:space="0"/>
              <w:left w:val="nil"/>
              <w:bottom w:val="single" w:color="auto" w:sz="4" w:space="0"/>
              <w:right w:val="single" w:color="auto" w:sz="4" w:space="0"/>
            </w:tcBorders>
            <w:noWrap/>
            <w:vAlign w:val="center"/>
          </w:tcPr>
          <w:p w14:paraId="2748FA3E">
            <w:pPr>
              <w:widowControl/>
              <w:jc w:val="center"/>
              <w:rPr>
                <w:rFonts w:ascii="宋体" w:hAnsi="宋体" w:cs="宋体"/>
                <w:kern w:val="0"/>
                <w:sz w:val="18"/>
                <w:szCs w:val="18"/>
              </w:rPr>
            </w:pPr>
            <w:r>
              <w:rPr>
                <w:rFonts w:hint="eastAsia" w:ascii="宋体" w:hAnsi="宋体" w:cs="宋体"/>
                <w:kern w:val="0"/>
                <w:sz w:val="18"/>
                <w:szCs w:val="18"/>
              </w:rPr>
              <w:t>项</w:t>
            </w:r>
          </w:p>
        </w:tc>
        <w:tc>
          <w:tcPr>
            <w:tcW w:w="419" w:type="pct"/>
            <w:tcBorders>
              <w:top w:val="single" w:color="auto" w:sz="4" w:space="0"/>
              <w:left w:val="single" w:color="auto" w:sz="4" w:space="0"/>
              <w:bottom w:val="single" w:color="auto" w:sz="4" w:space="0"/>
              <w:right w:val="single" w:color="auto" w:sz="4" w:space="0"/>
            </w:tcBorders>
            <w:noWrap/>
            <w:vAlign w:val="center"/>
          </w:tcPr>
          <w:p w14:paraId="4FC75F15">
            <w:pPr>
              <w:widowControl/>
              <w:jc w:val="center"/>
              <w:rPr>
                <w:rFonts w:ascii="宋体" w:hAnsi="宋体" w:cs="宋体"/>
                <w:kern w:val="0"/>
                <w:sz w:val="18"/>
                <w:szCs w:val="18"/>
              </w:rPr>
            </w:pPr>
            <w:r>
              <w:rPr>
                <w:rFonts w:hint="eastAsia" w:ascii="宋体" w:hAnsi="宋体" w:cs="宋体"/>
                <w:kern w:val="0"/>
                <w:sz w:val="18"/>
                <w:szCs w:val="18"/>
              </w:rPr>
              <w:t xml:space="preserve">1 </w:t>
            </w:r>
          </w:p>
        </w:tc>
        <w:tc>
          <w:tcPr>
            <w:tcW w:w="669" w:type="pct"/>
            <w:tcBorders>
              <w:top w:val="single" w:color="auto" w:sz="4" w:space="0"/>
              <w:left w:val="single" w:color="auto" w:sz="4" w:space="0"/>
              <w:bottom w:val="single" w:color="auto" w:sz="4" w:space="0"/>
              <w:right w:val="single" w:color="auto" w:sz="4" w:space="0"/>
            </w:tcBorders>
          </w:tcPr>
          <w:p w14:paraId="32DBC984">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30893018">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62EBA992">
            <w:pPr>
              <w:widowControl/>
              <w:jc w:val="left"/>
              <w:rPr>
                <w:rFonts w:ascii="Times New Roman" w:hAnsi="Times New Roman" w:eastAsia="Times New Roman"/>
                <w:kern w:val="0"/>
                <w:sz w:val="20"/>
                <w:szCs w:val="20"/>
              </w:rPr>
            </w:pPr>
          </w:p>
        </w:tc>
      </w:tr>
      <w:tr w14:paraId="1F313A5E">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7AFDAC07">
            <w:pPr>
              <w:widowControl/>
              <w:jc w:val="center"/>
              <w:rPr>
                <w:rFonts w:ascii="宋体" w:hAnsi="宋体" w:cs="宋体"/>
                <w:kern w:val="0"/>
                <w:sz w:val="18"/>
                <w:szCs w:val="18"/>
              </w:rPr>
            </w:pPr>
            <w:r>
              <w:rPr>
                <w:rFonts w:hint="eastAsia" w:ascii="宋体" w:hAnsi="宋体" w:cs="宋体"/>
                <w:kern w:val="0"/>
                <w:sz w:val="18"/>
                <w:szCs w:val="18"/>
              </w:rPr>
              <w:t>7</w:t>
            </w:r>
          </w:p>
        </w:tc>
        <w:tc>
          <w:tcPr>
            <w:tcW w:w="1016" w:type="pct"/>
            <w:tcBorders>
              <w:top w:val="nil"/>
              <w:left w:val="nil"/>
              <w:bottom w:val="single" w:color="auto" w:sz="4" w:space="0"/>
              <w:right w:val="single" w:color="auto" w:sz="4" w:space="0"/>
            </w:tcBorders>
            <w:vAlign w:val="center"/>
          </w:tcPr>
          <w:p w14:paraId="5D07832F">
            <w:pPr>
              <w:widowControl/>
              <w:jc w:val="left"/>
              <w:rPr>
                <w:rFonts w:ascii="宋体" w:hAnsi="宋体" w:cs="宋体"/>
                <w:kern w:val="0"/>
                <w:sz w:val="18"/>
                <w:szCs w:val="18"/>
              </w:rPr>
            </w:pPr>
            <w:r>
              <w:rPr>
                <w:rFonts w:hint="eastAsia" w:ascii="宋体" w:hAnsi="宋体" w:cs="宋体"/>
                <w:kern w:val="0"/>
                <w:sz w:val="18"/>
                <w:szCs w:val="18"/>
              </w:rPr>
              <w:t>喷淋头更换</w:t>
            </w:r>
          </w:p>
        </w:tc>
        <w:tc>
          <w:tcPr>
            <w:tcW w:w="453" w:type="pct"/>
            <w:tcBorders>
              <w:top w:val="single" w:color="auto" w:sz="4" w:space="0"/>
              <w:left w:val="nil"/>
              <w:bottom w:val="single" w:color="auto" w:sz="4" w:space="0"/>
              <w:right w:val="single" w:color="auto" w:sz="4" w:space="0"/>
            </w:tcBorders>
            <w:noWrap/>
            <w:vAlign w:val="center"/>
          </w:tcPr>
          <w:p w14:paraId="52B74F27">
            <w:pPr>
              <w:widowControl/>
              <w:jc w:val="center"/>
              <w:rPr>
                <w:rFonts w:ascii="宋体" w:hAnsi="宋体" w:cs="宋体"/>
                <w:kern w:val="0"/>
                <w:sz w:val="18"/>
                <w:szCs w:val="18"/>
              </w:rPr>
            </w:pPr>
            <w:r>
              <w:rPr>
                <w:rFonts w:hint="eastAsia" w:ascii="宋体" w:hAnsi="宋体" w:cs="宋体"/>
                <w:kern w:val="0"/>
                <w:sz w:val="18"/>
                <w:szCs w:val="18"/>
              </w:rPr>
              <w:t>个</w:t>
            </w:r>
          </w:p>
        </w:tc>
        <w:tc>
          <w:tcPr>
            <w:tcW w:w="419" w:type="pct"/>
            <w:tcBorders>
              <w:top w:val="single" w:color="auto" w:sz="4" w:space="0"/>
              <w:left w:val="single" w:color="auto" w:sz="4" w:space="0"/>
              <w:bottom w:val="single" w:color="auto" w:sz="4" w:space="0"/>
              <w:right w:val="single" w:color="auto" w:sz="4" w:space="0"/>
            </w:tcBorders>
            <w:noWrap/>
            <w:vAlign w:val="center"/>
          </w:tcPr>
          <w:p w14:paraId="422DD03F">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669" w:type="pct"/>
            <w:tcBorders>
              <w:top w:val="single" w:color="auto" w:sz="4" w:space="0"/>
              <w:left w:val="single" w:color="auto" w:sz="4" w:space="0"/>
              <w:bottom w:val="single" w:color="auto" w:sz="4" w:space="0"/>
              <w:right w:val="single" w:color="auto" w:sz="4" w:space="0"/>
            </w:tcBorders>
          </w:tcPr>
          <w:p w14:paraId="14F860A0">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15D76849">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47292D85">
            <w:pPr>
              <w:widowControl/>
              <w:jc w:val="left"/>
              <w:rPr>
                <w:rFonts w:ascii="Times New Roman" w:hAnsi="Times New Roman" w:eastAsia="Times New Roman"/>
                <w:kern w:val="0"/>
                <w:sz w:val="20"/>
                <w:szCs w:val="20"/>
              </w:rPr>
            </w:pPr>
          </w:p>
        </w:tc>
      </w:tr>
      <w:tr w14:paraId="5E8A3746">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290D3C77">
            <w:pPr>
              <w:widowControl/>
              <w:jc w:val="center"/>
              <w:rPr>
                <w:rFonts w:ascii="宋体" w:hAnsi="宋体" w:cs="宋体"/>
                <w:kern w:val="0"/>
                <w:sz w:val="18"/>
                <w:szCs w:val="18"/>
              </w:rPr>
            </w:pPr>
            <w:r>
              <w:rPr>
                <w:rFonts w:hint="eastAsia" w:ascii="宋体" w:hAnsi="宋体" w:cs="宋体"/>
                <w:kern w:val="0"/>
                <w:sz w:val="18"/>
                <w:szCs w:val="18"/>
              </w:rPr>
              <w:t>8</w:t>
            </w:r>
          </w:p>
        </w:tc>
        <w:tc>
          <w:tcPr>
            <w:tcW w:w="1016" w:type="pct"/>
            <w:tcBorders>
              <w:top w:val="nil"/>
              <w:left w:val="nil"/>
              <w:bottom w:val="single" w:color="auto" w:sz="4" w:space="0"/>
              <w:right w:val="single" w:color="auto" w:sz="4" w:space="0"/>
            </w:tcBorders>
            <w:vAlign w:val="center"/>
          </w:tcPr>
          <w:p w14:paraId="392EEF49">
            <w:pPr>
              <w:widowControl/>
              <w:jc w:val="left"/>
              <w:rPr>
                <w:rFonts w:ascii="宋体" w:hAnsi="宋体" w:cs="宋体"/>
                <w:kern w:val="0"/>
                <w:sz w:val="18"/>
                <w:szCs w:val="18"/>
              </w:rPr>
            </w:pPr>
            <w:r>
              <w:rPr>
                <w:rFonts w:hint="eastAsia" w:ascii="宋体" w:hAnsi="宋体" w:cs="宋体"/>
                <w:kern w:val="0"/>
                <w:sz w:val="18"/>
                <w:szCs w:val="18"/>
              </w:rPr>
              <w:t>水流指示器</w:t>
            </w:r>
          </w:p>
        </w:tc>
        <w:tc>
          <w:tcPr>
            <w:tcW w:w="453" w:type="pct"/>
            <w:tcBorders>
              <w:top w:val="single" w:color="auto" w:sz="4" w:space="0"/>
              <w:left w:val="nil"/>
              <w:bottom w:val="single" w:color="auto" w:sz="4" w:space="0"/>
              <w:right w:val="single" w:color="auto" w:sz="4" w:space="0"/>
            </w:tcBorders>
            <w:noWrap/>
            <w:vAlign w:val="center"/>
          </w:tcPr>
          <w:p w14:paraId="78F91726">
            <w:pPr>
              <w:widowControl/>
              <w:jc w:val="center"/>
              <w:rPr>
                <w:rFonts w:ascii="宋体" w:hAnsi="宋体" w:cs="宋体"/>
                <w:kern w:val="0"/>
                <w:sz w:val="18"/>
                <w:szCs w:val="18"/>
              </w:rPr>
            </w:pPr>
            <w:r>
              <w:rPr>
                <w:rFonts w:hint="eastAsia" w:ascii="宋体" w:hAnsi="宋体" w:cs="宋体"/>
                <w:kern w:val="0"/>
                <w:sz w:val="18"/>
                <w:szCs w:val="18"/>
              </w:rPr>
              <w:t>个</w:t>
            </w:r>
          </w:p>
        </w:tc>
        <w:tc>
          <w:tcPr>
            <w:tcW w:w="419" w:type="pct"/>
            <w:tcBorders>
              <w:top w:val="single" w:color="auto" w:sz="4" w:space="0"/>
              <w:left w:val="single" w:color="auto" w:sz="4" w:space="0"/>
              <w:bottom w:val="single" w:color="auto" w:sz="4" w:space="0"/>
              <w:right w:val="single" w:color="auto" w:sz="4" w:space="0"/>
            </w:tcBorders>
            <w:noWrap/>
            <w:vAlign w:val="center"/>
          </w:tcPr>
          <w:p w14:paraId="5ADA74AB">
            <w:pPr>
              <w:widowControl/>
              <w:jc w:val="center"/>
              <w:rPr>
                <w:rFonts w:ascii="宋体" w:hAnsi="宋体" w:cs="宋体"/>
                <w:kern w:val="0"/>
                <w:sz w:val="18"/>
                <w:szCs w:val="18"/>
              </w:rPr>
            </w:pPr>
            <w:r>
              <w:rPr>
                <w:rFonts w:hint="eastAsia" w:ascii="宋体" w:hAnsi="宋体" w:cs="宋体"/>
                <w:kern w:val="0"/>
                <w:sz w:val="18"/>
                <w:szCs w:val="18"/>
              </w:rPr>
              <w:t xml:space="preserve">2 </w:t>
            </w:r>
          </w:p>
        </w:tc>
        <w:tc>
          <w:tcPr>
            <w:tcW w:w="669" w:type="pct"/>
            <w:tcBorders>
              <w:top w:val="single" w:color="auto" w:sz="4" w:space="0"/>
              <w:left w:val="single" w:color="auto" w:sz="4" w:space="0"/>
              <w:bottom w:val="single" w:color="auto" w:sz="4" w:space="0"/>
              <w:right w:val="single" w:color="auto" w:sz="4" w:space="0"/>
            </w:tcBorders>
          </w:tcPr>
          <w:p w14:paraId="08A2A826">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411ECD7B">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482159E3">
            <w:pPr>
              <w:widowControl/>
              <w:jc w:val="left"/>
              <w:rPr>
                <w:rFonts w:ascii="Times New Roman" w:hAnsi="Times New Roman" w:eastAsia="Times New Roman"/>
                <w:kern w:val="0"/>
                <w:sz w:val="20"/>
                <w:szCs w:val="20"/>
              </w:rPr>
            </w:pPr>
          </w:p>
        </w:tc>
      </w:tr>
      <w:tr w14:paraId="082255C3">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3E85B725">
            <w:pPr>
              <w:widowControl/>
              <w:jc w:val="center"/>
              <w:rPr>
                <w:rFonts w:ascii="宋体" w:hAnsi="宋体" w:cs="宋体"/>
                <w:kern w:val="0"/>
                <w:sz w:val="18"/>
                <w:szCs w:val="18"/>
              </w:rPr>
            </w:pPr>
            <w:r>
              <w:rPr>
                <w:rFonts w:hint="eastAsia" w:ascii="宋体" w:hAnsi="宋体" w:cs="宋体"/>
                <w:kern w:val="0"/>
                <w:sz w:val="18"/>
                <w:szCs w:val="18"/>
              </w:rPr>
              <w:t>二</w:t>
            </w:r>
          </w:p>
        </w:tc>
        <w:tc>
          <w:tcPr>
            <w:tcW w:w="4250" w:type="pct"/>
            <w:gridSpan w:val="6"/>
            <w:tcBorders>
              <w:top w:val="nil"/>
              <w:left w:val="nil"/>
              <w:bottom w:val="single" w:color="auto" w:sz="4" w:space="0"/>
              <w:right w:val="single" w:color="auto" w:sz="4" w:space="0"/>
            </w:tcBorders>
            <w:vAlign w:val="center"/>
          </w:tcPr>
          <w:p w14:paraId="1A79A8D9">
            <w:pPr>
              <w:widowControl/>
              <w:jc w:val="left"/>
              <w:rPr>
                <w:rFonts w:ascii="宋体" w:hAnsi="宋体" w:cs="宋体"/>
                <w:kern w:val="0"/>
                <w:sz w:val="18"/>
                <w:szCs w:val="18"/>
              </w:rPr>
            </w:pPr>
            <w:r>
              <w:rPr>
                <w:rFonts w:hint="eastAsia" w:ascii="宋体" w:hAnsi="宋体" w:cs="宋体"/>
                <w:kern w:val="0"/>
                <w:sz w:val="18"/>
                <w:szCs w:val="18"/>
              </w:rPr>
              <w:t>火灾自动报警系统</w:t>
            </w:r>
          </w:p>
        </w:tc>
      </w:tr>
      <w:tr w14:paraId="6B275634">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2C2D1D31">
            <w:pPr>
              <w:widowControl/>
              <w:jc w:val="center"/>
              <w:rPr>
                <w:rFonts w:ascii="宋体" w:hAnsi="宋体" w:cs="宋体"/>
                <w:kern w:val="0"/>
                <w:sz w:val="18"/>
                <w:szCs w:val="18"/>
              </w:rPr>
            </w:pPr>
            <w:r>
              <w:rPr>
                <w:rFonts w:hint="eastAsia" w:ascii="宋体" w:hAnsi="宋体" w:cs="宋体"/>
                <w:kern w:val="0"/>
                <w:sz w:val="18"/>
                <w:szCs w:val="18"/>
              </w:rPr>
              <w:t>1</w:t>
            </w:r>
          </w:p>
        </w:tc>
        <w:tc>
          <w:tcPr>
            <w:tcW w:w="1016" w:type="pct"/>
            <w:tcBorders>
              <w:top w:val="nil"/>
              <w:left w:val="nil"/>
              <w:bottom w:val="single" w:color="auto" w:sz="4" w:space="0"/>
              <w:right w:val="single" w:color="auto" w:sz="4" w:space="0"/>
            </w:tcBorders>
            <w:vAlign w:val="center"/>
          </w:tcPr>
          <w:p w14:paraId="2F7D6F6C">
            <w:pPr>
              <w:widowControl/>
              <w:jc w:val="left"/>
              <w:rPr>
                <w:rFonts w:ascii="宋体" w:hAnsi="宋体" w:cs="宋体"/>
                <w:kern w:val="0"/>
                <w:sz w:val="18"/>
                <w:szCs w:val="18"/>
              </w:rPr>
            </w:pPr>
            <w:r>
              <w:rPr>
                <w:rFonts w:hint="eastAsia" w:ascii="宋体" w:hAnsi="宋体" w:cs="宋体"/>
                <w:kern w:val="0"/>
                <w:sz w:val="18"/>
                <w:szCs w:val="18"/>
              </w:rPr>
              <w:t>点型光电感烟火灾探测器更换</w:t>
            </w:r>
          </w:p>
        </w:tc>
        <w:tc>
          <w:tcPr>
            <w:tcW w:w="453" w:type="pct"/>
            <w:tcBorders>
              <w:top w:val="single" w:color="auto" w:sz="4" w:space="0"/>
              <w:left w:val="nil"/>
              <w:bottom w:val="single" w:color="auto" w:sz="4" w:space="0"/>
              <w:right w:val="single" w:color="auto" w:sz="4" w:space="0"/>
            </w:tcBorders>
            <w:noWrap/>
            <w:vAlign w:val="center"/>
          </w:tcPr>
          <w:p w14:paraId="46D50AC1">
            <w:pPr>
              <w:widowControl/>
              <w:jc w:val="center"/>
              <w:rPr>
                <w:rFonts w:ascii="宋体" w:hAnsi="宋体" w:cs="宋体"/>
                <w:kern w:val="0"/>
                <w:sz w:val="18"/>
                <w:szCs w:val="18"/>
              </w:rPr>
            </w:pPr>
            <w:r>
              <w:rPr>
                <w:rFonts w:hint="eastAsia" w:ascii="宋体" w:hAnsi="宋体" w:cs="宋体"/>
                <w:kern w:val="0"/>
                <w:sz w:val="18"/>
                <w:szCs w:val="18"/>
              </w:rPr>
              <w:t>只</w:t>
            </w:r>
          </w:p>
        </w:tc>
        <w:tc>
          <w:tcPr>
            <w:tcW w:w="419" w:type="pct"/>
            <w:tcBorders>
              <w:top w:val="single" w:color="auto" w:sz="4" w:space="0"/>
              <w:left w:val="single" w:color="auto" w:sz="4" w:space="0"/>
              <w:bottom w:val="single" w:color="auto" w:sz="4" w:space="0"/>
              <w:right w:val="single" w:color="auto" w:sz="4" w:space="0"/>
            </w:tcBorders>
            <w:noWrap/>
            <w:vAlign w:val="center"/>
          </w:tcPr>
          <w:p w14:paraId="61F7EE7F">
            <w:pPr>
              <w:widowControl/>
              <w:jc w:val="center"/>
              <w:rPr>
                <w:rFonts w:ascii="宋体" w:hAnsi="宋体" w:cs="宋体"/>
                <w:kern w:val="0"/>
                <w:sz w:val="18"/>
                <w:szCs w:val="18"/>
              </w:rPr>
            </w:pPr>
            <w:r>
              <w:rPr>
                <w:rFonts w:hint="eastAsia" w:ascii="宋体" w:hAnsi="宋体" w:cs="宋体"/>
                <w:kern w:val="0"/>
                <w:sz w:val="18"/>
                <w:szCs w:val="18"/>
              </w:rPr>
              <w:t>20</w:t>
            </w:r>
          </w:p>
        </w:tc>
        <w:tc>
          <w:tcPr>
            <w:tcW w:w="669" w:type="pct"/>
            <w:tcBorders>
              <w:top w:val="single" w:color="auto" w:sz="4" w:space="0"/>
              <w:left w:val="single" w:color="auto" w:sz="4" w:space="0"/>
              <w:bottom w:val="single" w:color="auto" w:sz="4" w:space="0"/>
              <w:right w:val="single" w:color="auto" w:sz="4" w:space="0"/>
            </w:tcBorders>
          </w:tcPr>
          <w:p w14:paraId="66EED45F">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5E45F989">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0F0503CA">
            <w:pPr>
              <w:widowControl/>
              <w:jc w:val="left"/>
              <w:rPr>
                <w:rFonts w:ascii="Times New Roman" w:hAnsi="Times New Roman" w:eastAsia="Times New Roman"/>
                <w:kern w:val="0"/>
                <w:sz w:val="20"/>
                <w:szCs w:val="20"/>
              </w:rPr>
            </w:pPr>
          </w:p>
        </w:tc>
      </w:tr>
      <w:tr w14:paraId="5410AFFA">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590720E5">
            <w:pPr>
              <w:widowControl/>
              <w:jc w:val="center"/>
              <w:rPr>
                <w:rFonts w:ascii="宋体" w:hAnsi="宋体" w:cs="宋体"/>
                <w:kern w:val="0"/>
                <w:sz w:val="18"/>
                <w:szCs w:val="18"/>
              </w:rPr>
            </w:pPr>
            <w:r>
              <w:rPr>
                <w:rFonts w:hint="eastAsia" w:ascii="宋体" w:hAnsi="宋体" w:cs="宋体"/>
                <w:kern w:val="0"/>
                <w:sz w:val="18"/>
                <w:szCs w:val="18"/>
              </w:rPr>
              <w:t>2</w:t>
            </w:r>
          </w:p>
        </w:tc>
        <w:tc>
          <w:tcPr>
            <w:tcW w:w="1016" w:type="pct"/>
            <w:tcBorders>
              <w:top w:val="nil"/>
              <w:left w:val="nil"/>
              <w:bottom w:val="single" w:color="auto" w:sz="4" w:space="0"/>
              <w:right w:val="single" w:color="auto" w:sz="4" w:space="0"/>
            </w:tcBorders>
            <w:vAlign w:val="center"/>
          </w:tcPr>
          <w:p w14:paraId="26D42FD4">
            <w:pPr>
              <w:widowControl/>
              <w:jc w:val="left"/>
              <w:rPr>
                <w:rFonts w:ascii="宋体" w:hAnsi="宋体" w:cs="宋体"/>
                <w:kern w:val="0"/>
                <w:sz w:val="18"/>
                <w:szCs w:val="18"/>
              </w:rPr>
            </w:pPr>
            <w:r>
              <w:rPr>
                <w:rFonts w:hint="eastAsia" w:ascii="宋体" w:hAnsi="宋体" w:cs="宋体"/>
                <w:kern w:val="0"/>
                <w:sz w:val="18"/>
                <w:szCs w:val="18"/>
              </w:rPr>
              <w:t>手动报警按钮更换</w:t>
            </w:r>
          </w:p>
        </w:tc>
        <w:tc>
          <w:tcPr>
            <w:tcW w:w="453" w:type="pct"/>
            <w:tcBorders>
              <w:top w:val="single" w:color="auto" w:sz="4" w:space="0"/>
              <w:left w:val="nil"/>
              <w:bottom w:val="single" w:color="auto" w:sz="4" w:space="0"/>
              <w:right w:val="single" w:color="auto" w:sz="4" w:space="0"/>
            </w:tcBorders>
            <w:noWrap/>
            <w:vAlign w:val="center"/>
          </w:tcPr>
          <w:p w14:paraId="6CA40430">
            <w:pPr>
              <w:widowControl/>
              <w:jc w:val="center"/>
              <w:rPr>
                <w:rFonts w:ascii="宋体" w:hAnsi="宋体" w:cs="宋体"/>
                <w:kern w:val="0"/>
                <w:sz w:val="18"/>
                <w:szCs w:val="18"/>
              </w:rPr>
            </w:pPr>
            <w:r>
              <w:rPr>
                <w:rFonts w:hint="eastAsia" w:ascii="宋体" w:hAnsi="宋体" w:cs="宋体"/>
                <w:kern w:val="0"/>
                <w:sz w:val="18"/>
                <w:szCs w:val="18"/>
              </w:rPr>
              <w:t>只</w:t>
            </w:r>
          </w:p>
        </w:tc>
        <w:tc>
          <w:tcPr>
            <w:tcW w:w="419" w:type="pct"/>
            <w:tcBorders>
              <w:top w:val="single" w:color="auto" w:sz="4" w:space="0"/>
              <w:left w:val="single" w:color="auto" w:sz="4" w:space="0"/>
              <w:bottom w:val="single" w:color="auto" w:sz="4" w:space="0"/>
              <w:right w:val="single" w:color="auto" w:sz="4" w:space="0"/>
            </w:tcBorders>
            <w:noWrap/>
            <w:vAlign w:val="center"/>
          </w:tcPr>
          <w:p w14:paraId="17972F87">
            <w:pPr>
              <w:widowControl/>
              <w:jc w:val="center"/>
              <w:rPr>
                <w:rFonts w:ascii="宋体" w:hAnsi="宋体" w:cs="宋体"/>
                <w:kern w:val="0"/>
                <w:sz w:val="18"/>
                <w:szCs w:val="18"/>
              </w:rPr>
            </w:pPr>
            <w:r>
              <w:rPr>
                <w:rFonts w:hint="eastAsia" w:ascii="宋体" w:hAnsi="宋体" w:cs="宋体"/>
                <w:kern w:val="0"/>
                <w:sz w:val="18"/>
                <w:szCs w:val="18"/>
              </w:rPr>
              <w:t>8</w:t>
            </w:r>
          </w:p>
        </w:tc>
        <w:tc>
          <w:tcPr>
            <w:tcW w:w="669" w:type="pct"/>
            <w:tcBorders>
              <w:top w:val="single" w:color="auto" w:sz="4" w:space="0"/>
              <w:left w:val="single" w:color="auto" w:sz="4" w:space="0"/>
              <w:bottom w:val="single" w:color="auto" w:sz="4" w:space="0"/>
              <w:right w:val="single" w:color="auto" w:sz="4" w:space="0"/>
            </w:tcBorders>
          </w:tcPr>
          <w:p w14:paraId="0F6AD8D4">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16846508">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283CE6CD">
            <w:pPr>
              <w:widowControl/>
              <w:jc w:val="left"/>
              <w:rPr>
                <w:rFonts w:ascii="Times New Roman" w:hAnsi="Times New Roman" w:eastAsia="Times New Roman"/>
                <w:kern w:val="0"/>
                <w:sz w:val="20"/>
                <w:szCs w:val="20"/>
              </w:rPr>
            </w:pPr>
          </w:p>
        </w:tc>
      </w:tr>
      <w:tr w14:paraId="28296642">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1611DCDD">
            <w:pPr>
              <w:widowControl/>
              <w:jc w:val="center"/>
              <w:rPr>
                <w:rFonts w:ascii="宋体" w:hAnsi="宋体" w:cs="宋体"/>
                <w:kern w:val="0"/>
                <w:sz w:val="18"/>
                <w:szCs w:val="18"/>
              </w:rPr>
            </w:pPr>
            <w:r>
              <w:rPr>
                <w:rFonts w:hint="eastAsia" w:ascii="宋体" w:hAnsi="宋体" w:cs="宋体"/>
                <w:kern w:val="0"/>
                <w:sz w:val="18"/>
                <w:szCs w:val="18"/>
              </w:rPr>
              <w:t>3</w:t>
            </w:r>
          </w:p>
        </w:tc>
        <w:tc>
          <w:tcPr>
            <w:tcW w:w="1016" w:type="pct"/>
            <w:tcBorders>
              <w:top w:val="nil"/>
              <w:left w:val="nil"/>
              <w:bottom w:val="single" w:color="auto" w:sz="4" w:space="0"/>
              <w:right w:val="single" w:color="auto" w:sz="4" w:space="0"/>
            </w:tcBorders>
            <w:vAlign w:val="center"/>
          </w:tcPr>
          <w:p w14:paraId="1837FDD2">
            <w:pPr>
              <w:widowControl/>
              <w:jc w:val="left"/>
              <w:rPr>
                <w:rFonts w:ascii="宋体" w:hAnsi="宋体" w:cs="宋体"/>
                <w:kern w:val="0"/>
                <w:sz w:val="18"/>
                <w:szCs w:val="18"/>
              </w:rPr>
            </w:pPr>
            <w:r>
              <w:rPr>
                <w:rFonts w:hint="eastAsia" w:ascii="宋体" w:hAnsi="宋体" w:cs="宋体"/>
                <w:kern w:val="0"/>
                <w:sz w:val="18"/>
                <w:szCs w:val="18"/>
              </w:rPr>
              <w:t>消火栓按钮更换</w:t>
            </w:r>
          </w:p>
        </w:tc>
        <w:tc>
          <w:tcPr>
            <w:tcW w:w="453" w:type="pct"/>
            <w:tcBorders>
              <w:top w:val="single" w:color="auto" w:sz="4" w:space="0"/>
              <w:left w:val="nil"/>
              <w:bottom w:val="single" w:color="auto" w:sz="4" w:space="0"/>
              <w:right w:val="single" w:color="auto" w:sz="4" w:space="0"/>
            </w:tcBorders>
            <w:noWrap/>
            <w:vAlign w:val="center"/>
          </w:tcPr>
          <w:p w14:paraId="479157C4">
            <w:pPr>
              <w:widowControl/>
              <w:jc w:val="center"/>
              <w:rPr>
                <w:rFonts w:ascii="宋体" w:hAnsi="宋体" w:cs="宋体"/>
                <w:kern w:val="0"/>
                <w:sz w:val="18"/>
                <w:szCs w:val="18"/>
              </w:rPr>
            </w:pPr>
            <w:r>
              <w:rPr>
                <w:rFonts w:hint="eastAsia" w:ascii="宋体" w:hAnsi="宋体" w:cs="宋体"/>
                <w:kern w:val="0"/>
                <w:sz w:val="18"/>
                <w:szCs w:val="18"/>
              </w:rPr>
              <w:t>只</w:t>
            </w:r>
          </w:p>
        </w:tc>
        <w:tc>
          <w:tcPr>
            <w:tcW w:w="419" w:type="pct"/>
            <w:tcBorders>
              <w:top w:val="single" w:color="auto" w:sz="4" w:space="0"/>
              <w:left w:val="single" w:color="auto" w:sz="4" w:space="0"/>
              <w:bottom w:val="single" w:color="auto" w:sz="4" w:space="0"/>
              <w:right w:val="single" w:color="auto" w:sz="4" w:space="0"/>
            </w:tcBorders>
            <w:noWrap/>
            <w:vAlign w:val="center"/>
          </w:tcPr>
          <w:p w14:paraId="2A54D12D">
            <w:pPr>
              <w:widowControl/>
              <w:jc w:val="center"/>
              <w:rPr>
                <w:rFonts w:ascii="宋体" w:hAnsi="宋体" w:cs="宋体"/>
                <w:kern w:val="0"/>
                <w:sz w:val="18"/>
                <w:szCs w:val="18"/>
              </w:rPr>
            </w:pPr>
            <w:r>
              <w:rPr>
                <w:rFonts w:hint="eastAsia" w:ascii="宋体" w:hAnsi="宋体" w:cs="宋体"/>
                <w:kern w:val="0"/>
                <w:sz w:val="18"/>
                <w:szCs w:val="18"/>
              </w:rPr>
              <w:t>4</w:t>
            </w:r>
          </w:p>
        </w:tc>
        <w:tc>
          <w:tcPr>
            <w:tcW w:w="669" w:type="pct"/>
            <w:tcBorders>
              <w:top w:val="single" w:color="auto" w:sz="4" w:space="0"/>
              <w:left w:val="single" w:color="auto" w:sz="4" w:space="0"/>
              <w:bottom w:val="single" w:color="auto" w:sz="4" w:space="0"/>
              <w:right w:val="single" w:color="auto" w:sz="4" w:space="0"/>
            </w:tcBorders>
          </w:tcPr>
          <w:p w14:paraId="177B2E2E">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63C4AE0D">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121431A3">
            <w:pPr>
              <w:widowControl/>
              <w:jc w:val="left"/>
              <w:rPr>
                <w:rFonts w:ascii="Times New Roman" w:hAnsi="Times New Roman" w:eastAsia="Times New Roman"/>
                <w:kern w:val="0"/>
                <w:sz w:val="20"/>
                <w:szCs w:val="20"/>
              </w:rPr>
            </w:pPr>
          </w:p>
        </w:tc>
      </w:tr>
      <w:tr w14:paraId="37296AED">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5867FAF4">
            <w:pPr>
              <w:widowControl/>
              <w:jc w:val="center"/>
              <w:rPr>
                <w:rFonts w:ascii="宋体" w:hAnsi="宋体" w:cs="宋体"/>
                <w:kern w:val="0"/>
                <w:sz w:val="18"/>
                <w:szCs w:val="18"/>
              </w:rPr>
            </w:pPr>
            <w:r>
              <w:rPr>
                <w:rFonts w:hint="eastAsia" w:ascii="宋体" w:hAnsi="宋体" w:cs="宋体"/>
                <w:kern w:val="0"/>
                <w:sz w:val="18"/>
                <w:szCs w:val="18"/>
              </w:rPr>
              <w:t>4</w:t>
            </w:r>
          </w:p>
        </w:tc>
        <w:tc>
          <w:tcPr>
            <w:tcW w:w="1016" w:type="pct"/>
            <w:tcBorders>
              <w:top w:val="nil"/>
              <w:left w:val="nil"/>
              <w:bottom w:val="single" w:color="auto" w:sz="4" w:space="0"/>
              <w:right w:val="single" w:color="auto" w:sz="4" w:space="0"/>
            </w:tcBorders>
            <w:vAlign w:val="center"/>
          </w:tcPr>
          <w:p w14:paraId="0743E9CA">
            <w:pPr>
              <w:widowControl/>
              <w:jc w:val="left"/>
              <w:rPr>
                <w:rFonts w:ascii="宋体" w:hAnsi="宋体" w:cs="宋体"/>
                <w:kern w:val="0"/>
                <w:sz w:val="18"/>
                <w:szCs w:val="18"/>
              </w:rPr>
            </w:pPr>
            <w:r>
              <w:rPr>
                <w:rFonts w:hint="eastAsia" w:ascii="宋体" w:hAnsi="宋体" w:cs="宋体"/>
                <w:kern w:val="0"/>
                <w:sz w:val="18"/>
                <w:szCs w:val="18"/>
              </w:rPr>
              <w:t>火灾报警控制器(联动型)主机更换</w:t>
            </w:r>
          </w:p>
        </w:tc>
        <w:tc>
          <w:tcPr>
            <w:tcW w:w="453" w:type="pct"/>
            <w:tcBorders>
              <w:top w:val="single" w:color="auto" w:sz="4" w:space="0"/>
              <w:left w:val="nil"/>
              <w:bottom w:val="single" w:color="auto" w:sz="4" w:space="0"/>
              <w:right w:val="single" w:color="auto" w:sz="4" w:space="0"/>
            </w:tcBorders>
            <w:noWrap/>
            <w:vAlign w:val="center"/>
          </w:tcPr>
          <w:p w14:paraId="3FD7EA0F">
            <w:pPr>
              <w:widowControl/>
              <w:jc w:val="center"/>
              <w:rPr>
                <w:rFonts w:ascii="宋体" w:hAnsi="宋体" w:cs="宋体"/>
                <w:kern w:val="0"/>
                <w:sz w:val="18"/>
                <w:szCs w:val="18"/>
              </w:rPr>
            </w:pPr>
            <w:r>
              <w:rPr>
                <w:rFonts w:hint="eastAsia" w:ascii="宋体" w:hAnsi="宋体" w:cs="宋体"/>
                <w:kern w:val="0"/>
                <w:sz w:val="18"/>
                <w:szCs w:val="18"/>
              </w:rPr>
              <w:t>台</w:t>
            </w:r>
          </w:p>
        </w:tc>
        <w:tc>
          <w:tcPr>
            <w:tcW w:w="419" w:type="pct"/>
            <w:tcBorders>
              <w:top w:val="single" w:color="auto" w:sz="4" w:space="0"/>
              <w:left w:val="single" w:color="auto" w:sz="4" w:space="0"/>
              <w:bottom w:val="single" w:color="auto" w:sz="4" w:space="0"/>
              <w:right w:val="single" w:color="auto" w:sz="4" w:space="0"/>
            </w:tcBorders>
            <w:noWrap/>
            <w:vAlign w:val="center"/>
          </w:tcPr>
          <w:p w14:paraId="1317CBE1">
            <w:pPr>
              <w:widowControl/>
              <w:jc w:val="center"/>
              <w:rPr>
                <w:rFonts w:ascii="宋体" w:hAnsi="宋体" w:cs="宋体"/>
                <w:kern w:val="0"/>
                <w:sz w:val="18"/>
                <w:szCs w:val="18"/>
              </w:rPr>
            </w:pPr>
            <w:r>
              <w:rPr>
                <w:rFonts w:hint="eastAsia" w:ascii="宋体" w:hAnsi="宋体" w:cs="宋体"/>
                <w:kern w:val="0"/>
                <w:sz w:val="18"/>
                <w:szCs w:val="18"/>
              </w:rPr>
              <w:t>1</w:t>
            </w:r>
          </w:p>
        </w:tc>
        <w:tc>
          <w:tcPr>
            <w:tcW w:w="669" w:type="pct"/>
            <w:tcBorders>
              <w:top w:val="single" w:color="auto" w:sz="4" w:space="0"/>
              <w:left w:val="single" w:color="auto" w:sz="4" w:space="0"/>
              <w:bottom w:val="single" w:color="auto" w:sz="4" w:space="0"/>
              <w:right w:val="single" w:color="auto" w:sz="4" w:space="0"/>
            </w:tcBorders>
          </w:tcPr>
          <w:p w14:paraId="5946C18D">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35E7F3F5">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1E7CB906">
            <w:pPr>
              <w:widowControl/>
              <w:jc w:val="left"/>
              <w:rPr>
                <w:rFonts w:ascii="Times New Roman" w:hAnsi="Times New Roman" w:eastAsia="Times New Roman"/>
                <w:kern w:val="0"/>
                <w:sz w:val="20"/>
                <w:szCs w:val="20"/>
              </w:rPr>
            </w:pPr>
          </w:p>
        </w:tc>
      </w:tr>
      <w:tr w14:paraId="18E539AB">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3679363E">
            <w:pPr>
              <w:widowControl/>
              <w:jc w:val="center"/>
              <w:rPr>
                <w:rFonts w:ascii="宋体" w:hAnsi="宋体" w:cs="宋体"/>
                <w:kern w:val="0"/>
                <w:sz w:val="18"/>
                <w:szCs w:val="18"/>
              </w:rPr>
            </w:pPr>
            <w:r>
              <w:rPr>
                <w:rFonts w:hint="eastAsia" w:ascii="宋体" w:hAnsi="宋体" w:cs="宋体"/>
                <w:kern w:val="0"/>
                <w:sz w:val="18"/>
                <w:szCs w:val="18"/>
              </w:rPr>
              <w:t>5</w:t>
            </w:r>
          </w:p>
        </w:tc>
        <w:tc>
          <w:tcPr>
            <w:tcW w:w="1016" w:type="pct"/>
            <w:tcBorders>
              <w:top w:val="nil"/>
              <w:left w:val="nil"/>
              <w:bottom w:val="single" w:color="auto" w:sz="4" w:space="0"/>
              <w:right w:val="single" w:color="auto" w:sz="4" w:space="0"/>
            </w:tcBorders>
            <w:vAlign w:val="center"/>
          </w:tcPr>
          <w:p w14:paraId="79FE6C13">
            <w:pPr>
              <w:widowControl/>
              <w:jc w:val="left"/>
              <w:rPr>
                <w:rFonts w:ascii="宋体" w:hAnsi="宋体" w:cs="宋体"/>
                <w:kern w:val="0"/>
                <w:sz w:val="18"/>
                <w:szCs w:val="18"/>
              </w:rPr>
            </w:pPr>
            <w:r>
              <w:rPr>
                <w:rFonts w:hint="eastAsia" w:ascii="宋体" w:hAnsi="宋体" w:cs="宋体"/>
                <w:kern w:val="0"/>
                <w:sz w:val="18"/>
                <w:szCs w:val="18"/>
              </w:rPr>
              <w:t>消防广播主机更换</w:t>
            </w:r>
          </w:p>
        </w:tc>
        <w:tc>
          <w:tcPr>
            <w:tcW w:w="453" w:type="pct"/>
            <w:tcBorders>
              <w:top w:val="single" w:color="auto" w:sz="4" w:space="0"/>
              <w:left w:val="nil"/>
              <w:bottom w:val="single" w:color="auto" w:sz="4" w:space="0"/>
              <w:right w:val="single" w:color="auto" w:sz="4" w:space="0"/>
            </w:tcBorders>
            <w:noWrap/>
            <w:vAlign w:val="center"/>
          </w:tcPr>
          <w:p w14:paraId="0988507E">
            <w:pPr>
              <w:widowControl/>
              <w:jc w:val="center"/>
              <w:rPr>
                <w:rFonts w:ascii="宋体" w:hAnsi="宋体" w:cs="宋体"/>
                <w:kern w:val="0"/>
                <w:sz w:val="18"/>
                <w:szCs w:val="18"/>
              </w:rPr>
            </w:pPr>
            <w:r>
              <w:rPr>
                <w:rFonts w:hint="eastAsia" w:ascii="宋体" w:hAnsi="宋体" w:cs="宋体"/>
                <w:kern w:val="0"/>
                <w:sz w:val="18"/>
                <w:szCs w:val="18"/>
              </w:rPr>
              <w:t>台</w:t>
            </w:r>
          </w:p>
        </w:tc>
        <w:tc>
          <w:tcPr>
            <w:tcW w:w="419" w:type="pct"/>
            <w:tcBorders>
              <w:top w:val="single" w:color="auto" w:sz="4" w:space="0"/>
              <w:left w:val="single" w:color="auto" w:sz="4" w:space="0"/>
              <w:bottom w:val="single" w:color="auto" w:sz="4" w:space="0"/>
              <w:right w:val="single" w:color="auto" w:sz="4" w:space="0"/>
            </w:tcBorders>
            <w:noWrap/>
            <w:vAlign w:val="center"/>
          </w:tcPr>
          <w:p w14:paraId="64B1B7D2">
            <w:pPr>
              <w:widowControl/>
              <w:jc w:val="center"/>
              <w:rPr>
                <w:rFonts w:ascii="宋体" w:hAnsi="宋体" w:cs="宋体"/>
                <w:kern w:val="0"/>
                <w:sz w:val="18"/>
                <w:szCs w:val="18"/>
              </w:rPr>
            </w:pPr>
            <w:r>
              <w:rPr>
                <w:rFonts w:hint="eastAsia" w:ascii="宋体" w:hAnsi="宋体" w:cs="宋体"/>
                <w:kern w:val="0"/>
                <w:sz w:val="18"/>
                <w:szCs w:val="18"/>
              </w:rPr>
              <w:t>1</w:t>
            </w:r>
          </w:p>
        </w:tc>
        <w:tc>
          <w:tcPr>
            <w:tcW w:w="669" w:type="pct"/>
            <w:tcBorders>
              <w:top w:val="single" w:color="auto" w:sz="4" w:space="0"/>
              <w:left w:val="single" w:color="auto" w:sz="4" w:space="0"/>
              <w:bottom w:val="single" w:color="auto" w:sz="4" w:space="0"/>
              <w:right w:val="single" w:color="auto" w:sz="4" w:space="0"/>
            </w:tcBorders>
          </w:tcPr>
          <w:p w14:paraId="59CD96FD">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556195D0">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11F1BEBD">
            <w:pPr>
              <w:widowControl/>
              <w:jc w:val="left"/>
              <w:rPr>
                <w:rFonts w:ascii="Times New Roman" w:hAnsi="Times New Roman" w:eastAsia="Times New Roman"/>
                <w:kern w:val="0"/>
                <w:sz w:val="20"/>
                <w:szCs w:val="20"/>
              </w:rPr>
            </w:pPr>
          </w:p>
        </w:tc>
      </w:tr>
      <w:tr w14:paraId="25D0BF85">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2AAEFBC4">
            <w:pPr>
              <w:widowControl/>
              <w:jc w:val="center"/>
              <w:rPr>
                <w:rFonts w:ascii="宋体" w:hAnsi="宋体" w:cs="宋体"/>
                <w:kern w:val="0"/>
                <w:sz w:val="18"/>
                <w:szCs w:val="18"/>
              </w:rPr>
            </w:pPr>
            <w:r>
              <w:rPr>
                <w:rFonts w:hint="eastAsia" w:ascii="宋体" w:hAnsi="宋体" w:cs="宋体"/>
                <w:kern w:val="0"/>
                <w:sz w:val="18"/>
                <w:szCs w:val="18"/>
              </w:rPr>
              <w:t>6</w:t>
            </w:r>
          </w:p>
        </w:tc>
        <w:tc>
          <w:tcPr>
            <w:tcW w:w="1016" w:type="pct"/>
            <w:tcBorders>
              <w:top w:val="nil"/>
              <w:left w:val="nil"/>
              <w:bottom w:val="single" w:color="auto" w:sz="4" w:space="0"/>
              <w:right w:val="single" w:color="auto" w:sz="4" w:space="0"/>
            </w:tcBorders>
            <w:vAlign w:val="center"/>
          </w:tcPr>
          <w:p w14:paraId="7E45B984">
            <w:pPr>
              <w:widowControl/>
              <w:jc w:val="left"/>
              <w:rPr>
                <w:rFonts w:ascii="宋体" w:hAnsi="宋体" w:cs="宋体"/>
                <w:kern w:val="0"/>
                <w:sz w:val="18"/>
                <w:szCs w:val="18"/>
              </w:rPr>
            </w:pPr>
            <w:r>
              <w:rPr>
                <w:rFonts w:hint="eastAsia" w:ascii="宋体" w:hAnsi="宋体" w:cs="宋体"/>
                <w:kern w:val="0"/>
                <w:sz w:val="18"/>
                <w:szCs w:val="18"/>
              </w:rPr>
              <w:t>电话主机更换</w:t>
            </w:r>
          </w:p>
        </w:tc>
        <w:tc>
          <w:tcPr>
            <w:tcW w:w="453" w:type="pct"/>
            <w:tcBorders>
              <w:top w:val="single" w:color="auto" w:sz="4" w:space="0"/>
              <w:left w:val="nil"/>
              <w:bottom w:val="single" w:color="auto" w:sz="4" w:space="0"/>
              <w:right w:val="single" w:color="auto" w:sz="4" w:space="0"/>
            </w:tcBorders>
            <w:noWrap/>
            <w:vAlign w:val="center"/>
          </w:tcPr>
          <w:p w14:paraId="13933515">
            <w:pPr>
              <w:widowControl/>
              <w:jc w:val="center"/>
              <w:rPr>
                <w:rFonts w:ascii="宋体" w:hAnsi="宋体" w:cs="宋体"/>
                <w:kern w:val="0"/>
                <w:sz w:val="18"/>
                <w:szCs w:val="18"/>
              </w:rPr>
            </w:pPr>
            <w:r>
              <w:rPr>
                <w:rFonts w:hint="eastAsia" w:ascii="宋体" w:hAnsi="宋体" w:cs="宋体"/>
                <w:kern w:val="0"/>
                <w:sz w:val="18"/>
                <w:szCs w:val="18"/>
              </w:rPr>
              <w:t>台</w:t>
            </w:r>
          </w:p>
        </w:tc>
        <w:tc>
          <w:tcPr>
            <w:tcW w:w="419" w:type="pct"/>
            <w:tcBorders>
              <w:top w:val="single" w:color="auto" w:sz="4" w:space="0"/>
              <w:left w:val="single" w:color="auto" w:sz="4" w:space="0"/>
              <w:bottom w:val="single" w:color="auto" w:sz="4" w:space="0"/>
              <w:right w:val="single" w:color="auto" w:sz="4" w:space="0"/>
            </w:tcBorders>
            <w:noWrap/>
            <w:vAlign w:val="center"/>
          </w:tcPr>
          <w:p w14:paraId="2EBCF137">
            <w:pPr>
              <w:widowControl/>
              <w:jc w:val="center"/>
              <w:rPr>
                <w:rFonts w:ascii="宋体" w:hAnsi="宋体" w:cs="宋体"/>
                <w:kern w:val="0"/>
                <w:sz w:val="18"/>
                <w:szCs w:val="18"/>
              </w:rPr>
            </w:pPr>
            <w:r>
              <w:rPr>
                <w:rFonts w:hint="eastAsia" w:ascii="宋体" w:hAnsi="宋体" w:cs="宋体"/>
                <w:kern w:val="0"/>
                <w:sz w:val="18"/>
                <w:szCs w:val="18"/>
              </w:rPr>
              <w:t>1</w:t>
            </w:r>
          </w:p>
        </w:tc>
        <w:tc>
          <w:tcPr>
            <w:tcW w:w="669" w:type="pct"/>
            <w:tcBorders>
              <w:top w:val="single" w:color="auto" w:sz="4" w:space="0"/>
              <w:left w:val="single" w:color="auto" w:sz="4" w:space="0"/>
              <w:bottom w:val="single" w:color="auto" w:sz="4" w:space="0"/>
              <w:right w:val="single" w:color="auto" w:sz="4" w:space="0"/>
            </w:tcBorders>
          </w:tcPr>
          <w:p w14:paraId="5C6E1B2D">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14227815">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0CB7ADF3">
            <w:pPr>
              <w:widowControl/>
              <w:jc w:val="left"/>
              <w:rPr>
                <w:rFonts w:ascii="Times New Roman" w:hAnsi="Times New Roman" w:eastAsia="Times New Roman"/>
                <w:kern w:val="0"/>
                <w:sz w:val="20"/>
                <w:szCs w:val="20"/>
              </w:rPr>
            </w:pPr>
          </w:p>
        </w:tc>
      </w:tr>
      <w:tr w14:paraId="748389A2">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10B509CF">
            <w:pPr>
              <w:widowControl/>
              <w:jc w:val="center"/>
              <w:rPr>
                <w:rFonts w:ascii="宋体" w:hAnsi="宋体" w:cs="宋体"/>
                <w:kern w:val="0"/>
                <w:sz w:val="18"/>
                <w:szCs w:val="18"/>
              </w:rPr>
            </w:pPr>
            <w:r>
              <w:rPr>
                <w:rFonts w:hint="eastAsia" w:ascii="宋体" w:hAnsi="宋体" w:cs="宋体"/>
                <w:kern w:val="0"/>
                <w:sz w:val="18"/>
                <w:szCs w:val="18"/>
              </w:rPr>
              <w:t>7</w:t>
            </w:r>
          </w:p>
        </w:tc>
        <w:tc>
          <w:tcPr>
            <w:tcW w:w="1016" w:type="pct"/>
            <w:tcBorders>
              <w:top w:val="nil"/>
              <w:left w:val="nil"/>
              <w:bottom w:val="single" w:color="auto" w:sz="4" w:space="0"/>
              <w:right w:val="single" w:color="auto" w:sz="4" w:space="0"/>
            </w:tcBorders>
            <w:vAlign w:val="center"/>
          </w:tcPr>
          <w:p w14:paraId="78C19D9B">
            <w:pPr>
              <w:widowControl/>
              <w:jc w:val="left"/>
              <w:rPr>
                <w:rFonts w:ascii="宋体" w:hAnsi="宋体" w:cs="宋体"/>
                <w:kern w:val="0"/>
                <w:sz w:val="18"/>
                <w:szCs w:val="18"/>
              </w:rPr>
            </w:pPr>
            <w:r>
              <w:rPr>
                <w:rFonts w:hint="eastAsia" w:ascii="宋体" w:hAnsi="宋体" w:cs="宋体"/>
                <w:kern w:val="0"/>
                <w:sz w:val="18"/>
                <w:szCs w:val="18"/>
              </w:rPr>
              <w:t>电话分机</w:t>
            </w:r>
          </w:p>
        </w:tc>
        <w:tc>
          <w:tcPr>
            <w:tcW w:w="453" w:type="pct"/>
            <w:tcBorders>
              <w:top w:val="single" w:color="auto" w:sz="4" w:space="0"/>
              <w:left w:val="nil"/>
              <w:bottom w:val="single" w:color="auto" w:sz="4" w:space="0"/>
              <w:right w:val="single" w:color="auto" w:sz="4" w:space="0"/>
            </w:tcBorders>
            <w:noWrap/>
            <w:vAlign w:val="center"/>
          </w:tcPr>
          <w:p w14:paraId="29ADE2A6">
            <w:pPr>
              <w:widowControl/>
              <w:jc w:val="center"/>
              <w:rPr>
                <w:rFonts w:ascii="宋体" w:hAnsi="宋体" w:cs="宋体"/>
                <w:kern w:val="0"/>
                <w:sz w:val="18"/>
                <w:szCs w:val="18"/>
              </w:rPr>
            </w:pPr>
            <w:r>
              <w:rPr>
                <w:rFonts w:hint="eastAsia" w:ascii="宋体" w:hAnsi="宋体" w:cs="宋体"/>
                <w:kern w:val="0"/>
                <w:sz w:val="18"/>
                <w:szCs w:val="18"/>
              </w:rPr>
              <w:t>台</w:t>
            </w:r>
          </w:p>
        </w:tc>
        <w:tc>
          <w:tcPr>
            <w:tcW w:w="419" w:type="pct"/>
            <w:tcBorders>
              <w:top w:val="single" w:color="auto" w:sz="4" w:space="0"/>
              <w:left w:val="single" w:color="auto" w:sz="4" w:space="0"/>
              <w:bottom w:val="single" w:color="auto" w:sz="4" w:space="0"/>
              <w:right w:val="single" w:color="auto" w:sz="4" w:space="0"/>
            </w:tcBorders>
            <w:noWrap/>
            <w:vAlign w:val="center"/>
          </w:tcPr>
          <w:p w14:paraId="1BCC596A">
            <w:pPr>
              <w:widowControl/>
              <w:jc w:val="center"/>
              <w:rPr>
                <w:rFonts w:ascii="宋体" w:hAnsi="宋体" w:cs="宋体"/>
                <w:kern w:val="0"/>
                <w:sz w:val="18"/>
                <w:szCs w:val="18"/>
              </w:rPr>
            </w:pPr>
            <w:r>
              <w:rPr>
                <w:rFonts w:hint="eastAsia" w:ascii="宋体" w:hAnsi="宋体" w:cs="宋体"/>
                <w:kern w:val="0"/>
                <w:sz w:val="18"/>
                <w:szCs w:val="18"/>
              </w:rPr>
              <w:t>3</w:t>
            </w:r>
          </w:p>
        </w:tc>
        <w:tc>
          <w:tcPr>
            <w:tcW w:w="669" w:type="pct"/>
            <w:tcBorders>
              <w:top w:val="single" w:color="auto" w:sz="4" w:space="0"/>
              <w:left w:val="single" w:color="auto" w:sz="4" w:space="0"/>
              <w:bottom w:val="single" w:color="auto" w:sz="4" w:space="0"/>
              <w:right w:val="single" w:color="auto" w:sz="4" w:space="0"/>
            </w:tcBorders>
          </w:tcPr>
          <w:p w14:paraId="26B92C5E">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4B2E5C51">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36C95931">
            <w:pPr>
              <w:widowControl/>
              <w:jc w:val="left"/>
              <w:rPr>
                <w:rFonts w:ascii="Times New Roman" w:hAnsi="Times New Roman" w:eastAsia="Times New Roman"/>
                <w:kern w:val="0"/>
                <w:sz w:val="20"/>
                <w:szCs w:val="20"/>
              </w:rPr>
            </w:pPr>
          </w:p>
        </w:tc>
      </w:tr>
      <w:tr w14:paraId="40C594C5">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69C161E2">
            <w:pPr>
              <w:widowControl/>
              <w:jc w:val="center"/>
              <w:rPr>
                <w:rFonts w:ascii="宋体" w:hAnsi="宋体" w:cs="宋体"/>
                <w:kern w:val="0"/>
                <w:sz w:val="18"/>
                <w:szCs w:val="18"/>
              </w:rPr>
            </w:pPr>
            <w:r>
              <w:rPr>
                <w:rFonts w:hint="eastAsia" w:ascii="宋体" w:hAnsi="宋体" w:cs="宋体"/>
                <w:kern w:val="0"/>
                <w:sz w:val="18"/>
                <w:szCs w:val="18"/>
              </w:rPr>
              <w:t>8</w:t>
            </w:r>
          </w:p>
        </w:tc>
        <w:tc>
          <w:tcPr>
            <w:tcW w:w="1016" w:type="pct"/>
            <w:tcBorders>
              <w:top w:val="nil"/>
              <w:left w:val="nil"/>
              <w:bottom w:val="single" w:color="auto" w:sz="4" w:space="0"/>
              <w:right w:val="single" w:color="auto" w:sz="4" w:space="0"/>
            </w:tcBorders>
            <w:vAlign w:val="center"/>
          </w:tcPr>
          <w:p w14:paraId="2A5F5E50">
            <w:pPr>
              <w:widowControl/>
              <w:jc w:val="left"/>
              <w:rPr>
                <w:rFonts w:ascii="宋体" w:hAnsi="宋体" w:cs="宋体"/>
                <w:kern w:val="0"/>
                <w:sz w:val="18"/>
                <w:szCs w:val="18"/>
              </w:rPr>
            </w:pPr>
            <w:r>
              <w:rPr>
                <w:rFonts w:hint="eastAsia" w:ascii="宋体" w:hAnsi="宋体" w:cs="宋体"/>
                <w:kern w:val="0"/>
                <w:sz w:val="18"/>
                <w:szCs w:val="18"/>
              </w:rPr>
              <w:t>信号线(支线） ZN-RVS-2×1.5</w:t>
            </w:r>
          </w:p>
        </w:tc>
        <w:tc>
          <w:tcPr>
            <w:tcW w:w="453" w:type="pct"/>
            <w:tcBorders>
              <w:top w:val="single" w:color="auto" w:sz="4" w:space="0"/>
              <w:left w:val="nil"/>
              <w:bottom w:val="single" w:color="auto" w:sz="4" w:space="0"/>
              <w:right w:val="single" w:color="auto" w:sz="4" w:space="0"/>
            </w:tcBorders>
            <w:noWrap/>
            <w:vAlign w:val="center"/>
          </w:tcPr>
          <w:p w14:paraId="3DB90EF9">
            <w:pPr>
              <w:widowControl/>
              <w:jc w:val="center"/>
              <w:rPr>
                <w:rFonts w:ascii="宋体" w:hAnsi="宋体" w:cs="宋体"/>
                <w:kern w:val="0"/>
                <w:sz w:val="18"/>
                <w:szCs w:val="18"/>
              </w:rPr>
            </w:pPr>
            <w:r>
              <w:rPr>
                <w:rFonts w:hint="eastAsia" w:ascii="宋体" w:hAnsi="宋体" w:cs="宋体"/>
                <w:kern w:val="0"/>
                <w:sz w:val="18"/>
                <w:szCs w:val="18"/>
              </w:rPr>
              <w:t>m</w:t>
            </w:r>
          </w:p>
        </w:tc>
        <w:tc>
          <w:tcPr>
            <w:tcW w:w="419" w:type="pct"/>
            <w:tcBorders>
              <w:top w:val="single" w:color="auto" w:sz="4" w:space="0"/>
              <w:left w:val="single" w:color="auto" w:sz="4" w:space="0"/>
              <w:bottom w:val="single" w:color="auto" w:sz="4" w:space="0"/>
              <w:right w:val="single" w:color="auto" w:sz="4" w:space="0"/>
            </w:tcBorders>
            <w:noWrap/>
            <w:vAlign w:val="center"/>
          </w:tcPr>
          <w:p w14:paraId="5367A865">
            <w:pPr>
              <w:widowControl/>
              <w:jc w:val="center"/>
              <w:rPr>
                <w:rFonts w:ascii="宋体" w:hAnsi="宋体" w:cs="宋体"/>
                <w:kern w:val="0"/>
                <w:sz w:val="18"/>
                <w:szCs w:val="18"/>
              </w:rPr>
            </w:pPr>
            <w:r>
              <w:rPr>
                <w:rFonts w:hint="eastAsia" w:ascii="宋体" w:hAnsi="宋体" w:cs="宋体"/>
                <w:kern w:val="0"/>
                <w:sz w:val="18"/>
                <w:szCs w:val="18"/>
              </w:rPr>
              <w:t>300</w:t>
            </w:r>
          </w:p>
        </w:tc>
        <w:tc>
          <w:tcPr>
            <w:tcW w:w="669" w:type="pct"/>
            <w:tcBorders>
              <w:top w:val="single" w:color="auto" w:sz="4" w:space="0"/>
              <w:left w:val="single" w:color="auto" w:sz="4" w:space="0"/>
              <w:bottom w:val="single" w:color="auto" w:sz="4" w:space="0"/>
              <w:right w:val="single" w:color="auto" w:sz="4" w:space="0"/>
            </w:tcBorders>
          </w:tcPr>
          <w:p w14:paraId="2C9A4CD8">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1A4C3B63">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6E4DA820">
            <w:pPr>
              <w:widowControl/>
              <w:jc w:val="left"/>
              <w:rPr>
                <w:rFonts w:ascii="Times New Roman" w:hAnsi="Times New Roman" w:eastAsia="Times New Roman"/>
                <w:kern w:val="0"/>
                <w:sz w:val="20"/>
                <w:szCs w:val="20"/>
              </w:rPr>
            </w:pPr>
          </w:p>
        </w:tc>
      </w:tr>
      <w:tr w14:paraId="6705E028">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0244CC0F">
            <w:pPr>
              <w:widowControl/>
              <w:jc w:val="center"/>
              <w:rPr>
                <w:rFonts w:ascii="宋体" w:hAnsi="宋体" w:cs="宋体"/>
                <w:kern w:val="0"/>
                <w:sz w:val="18"/>
                <w:szCs w:val="18"/>
              </w:rPr>
            </w:pPr>
            <w:r>
              <w:rPr>
                <w:rFonts w:hint="eastAsia" w:ascii="宋体" w:hAnsi="宋体" w:cs="宋体"/>
                <w:kern w:val="0"/>
                <w:sz w:val="18"/>
                <w:szCs w:val="18"/>
              </w:rPr>
              <w:t>9</w:t>
            </w:r>
          </w:p>
        </w:tc>
        <w:tc>
          <w:tcPr>
            <w:tcW w:w="1016" w:type="pct"/>
            <w:tcBorders>
              <w:top w:val="nil"/>
              <w:left w:val="nil"/>
              <w:bottom w:val="single" w:color="auto" w:sz="4" w:space="0"/>
              <w:right w:val="single" w:color="auto" w:sz="4" w:space="0"/>
            </w:tcBorders>
            <w:vAlign w:val="center"/>
          </w:tcPr>
          <w:p w14:paraId="0D29D8C3">
            <w:pPr>
              <w:widowControl/>
              <w:jc w:val="left"/>
              <w:rPr>
                <w:rFonts w:ascii="宋体" w:hAnsi="宋体" w:cs="宋体"/>
                <w:kern w:val="0"/>
                <w:sz w:val="18"/>
                <w:szCs w:val="18"/>
              </w:rPr>
            </w:pPr>
            <w:r>
              <w:rPr>
                <w:rFonts w:hint="eastAsia" w:ascii="宋体" w:hAnsi="宋体" w:cs="宋体"/>
                <w:kern w:val="0"/>
                <w:sz w:val="18"/>
                <w:szCs w:val="18"/>
              </w:rPr>
              <w:t>广播线路检修</w:t>
            </w:r>
          </w:p>
        </w:tc>
        <w:tc>
          <w:tcPr>
            <w:tcW w:w="453" w:type="pct"/>
            <w:tcBorders>
              <w:top w:val="single" w:color="auto" w:sz="4" w:space="0"/>
              <w:left w:val="nil"/>
              <w:bottom w:val="single" w:color="auto" w:sz="4" w:space="0"/>
              <w:right w:val="single" w:color="auto" w:sz="4" w:space="0"/>
            </w:tcBorders>
            <w:noWrap/>
            <w:vAlign w:val="center"/>
          </w:tcPr>
          <w:p w14:paraId="56A8DB64">
            <w:pPr>
              <w:widowControl/>
              <w:jc w:val="center"/>
              <w:rPr>
                <w:rFonts w:ascii="宋体" w:hAnsi="宋体" w:cs="宋体"/>
                <w:kern w:val="0"/>
                <w:sz w:val="18"/>
                <w:szCs w:val="18"/>
              </w:rPr>
            </w:pPr>
            <w:r>
              <w:rPr>
                <w:rFonts w:hint="eastAsia" w:ascii="宋体" w:hAnsi="宋体" w:cs="宋体"/>
                <w:kern w:val="0"/>
                <w:sz w:val="18"/>
                <w:szCs w:val="18"/>
              </w:rPr>
              <w:t>项</w:t>
            </w:r>
          </w:p>
        </w:tc>
        <w:tc>
          <w:tcPr>
            <w:tcW w:w="419" w:type="pct"/>
            <w:tcBorders>
              <w:top w:val="single" w:color="auto" w:sz="4" w:space="0"/>
              <w:left w:val="single" w:color="auto" w:sz="4" w:space="0"/>
              <w:bottom w:val="single" w:color="auto" w:sz="4" w:space="0"/>
              <w:right w:val="single" w:color="auto" w:sz="4" w:space="0"/>
            </w:tcBorders>
            <w:noWrap/>
            <w:vAlign w:val="center"/>
          </w:tcPr>
          <w:p w14:paraId="2F414104">
            <w:pPr>
              <w:widowControl/>
              <w:jc w:val="center"/>
              <w:rPr>
                <w:rFonts w:ascii="宋体" w:hAnsi="宋体" w:cs="宋体"/>
                <w:kern w:val="0"/>
                <w:sz w:val="18"/>
                <w:szCs w:val="18"/>
              </w:rPr>
            </w:pPr>
            <w:r>
              <w:rPr>
                <w:rFonts w:hint="eastAsia" w:ascii="宋体" w:hAnsi="宋体" w:cs="宋体"/>
                <w:kern w:val="0"/>
                <w:sz w:val="18"/>
                <w:szCs w:val="18"/>
              </w:rPr>
              <w:t>1</w:t>
            </w:r>
          </w:p>
        </w:tc>
        <w:tc>
          <w:tcPr>
            <w:tcW w:w="669" w:type="pct"/>
            <w:tcBorders>
              <w:top w:val="single" w:color="auto" w:sz="4" w:space="0"/>
              <w:left w:val="single" w:color="auto" w:sz="4" w:space="0"/>
              <w:bottom w:val="single" w:color="auto" w:sz="4" w:space="0"/>
              <w:right w:val="single" w:color="auto" w:sz="4" w:space="0"/>
            </w:tcBorders>
          </w:tcPr>
          <w:p w14:paraId="7E8D5FC4">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72039614">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5B10F6BB">
            <w:pPr>
              <w:widowControl/>
              <w:jc w:val="left"/>
              <w:rPr>
                <w:rFonts w:ascii="Times New Roman" w:hAnsi="Times New Roman" w:eastAsia="Times New Roman"/>
                <w:kern w:val="0"/>
                <w:sz w:val="20"/>
                <w:szCs w:val="20"/>
              </w:rPr>
            </w:pPr>
          </w:p>
        </w:tc>
      </w:tr>
      <w:tr w14:paraId="36D2F662">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474AF228">
            <w:pPr>
              <w:widowControl/>
              <w:jc w:val="center"/>
              <w:rPr>
                <w:rFonts w:ascii="宋体" w:hAnsi="宋体" w:cs="宋体"/>
                <w:kern w:val="0"/>
                <w:sz w:val="18"/>
                <w:szCs w:val="18"/>
              </w:rPr>
            </w:pPr>
            <w:r>
              <w:rPr>
                <w:rFonts w:hint="eastAsia" w:ascii="宋体" w:hAnsi="宋体" w:cs="宋体"/>
                <w:kern w:val="0"/>
                <w:sz w:val="18"/>
                <w:szCs w:val="18"/>
              </w:rPr>
              <w:t>10</w:t>
            </w:r>
          </w:p>
        </w:tc>
        <w:tc>
          <w:tcPr>
            <w:tcW w:w="1016" w:type="pct"/>
            <w:tcBorders>
              <w:top w:val="nil"/>
              <w:left w:val="nil"/>
              <w:bottom w:val="single" w:color="auto" w:sz="4" w:space="0"/>
              <w:right w:val="single" w:color="auto" w:sz="4" w:space="0"/>
            </w:tcBorders>
            <w:vAlign w:val="center"/>
          </w:tcPr>
          <w:p w14:paraId="450E62F0">
            <w:pPr>
              <w:widowControl/>
              <w:jc w:val="left"/>
              <w:rPr>
                <w:rFonts w:ascii="宋体" w:hAnsi="宋体" w:cs="宋体"/>
                <w:kern w:val="0"/>
                <w:sz w:val="18"/>
                <w:szCs w:val="18"/>
              </w:rPr>
            </w:pPr>
            <w:r>
              <w:rPr>
                <w:rFonts w:hint="eastAsia" w:ascii="宋体" w:hAnsi="宋体" w:cs="宋体"/>
                <w:kern w:val="0"/>
                <w:sz w:val="18"/>
                <w:szCs w:val="18"/>
              </w:rPr>
              <w:t>直接启泵线  NH-KVV-4×1.5</w:t>
            </w:r>
          </w:p>
        </w:tc>
        <w:tc>
          <w:tcPr>
            <w:tcW w:w="453" w:type="pct"/>
            <w:tcBorders>
              <w:top w:val="single" w:color="auto" w:sz="4" w:space="0"/>
              <w:left w:val="nil"/>
              <w:bottom w:val="single" w:color="auto" w:sz="4" w:space="0"/>
              <w:right w:val="single" w:color="auto" w:sz="4" w:space="0"/>
            </w:tcBorders>
            <w:noWrap/>
            <w:vAlign w:val="center"/>
          </w:tcPr>
          <w:p w14:paraId="11C2A251">
            <w:pPr>
              <w:widowControl/>
              <w:jc w:val="center"/>
              <w:rPr>
                <w:rFonts w:ascii="宋体" w:hAnsi="宋体" w:cs="宋体"/>
                <w:kern w:val="0"/>
                <w:sz w:val="18"/>
                <w:szCs w:val="18"/>
              </w:rPr>
            </w:pPr>
            <w:r>
              <w:rPr>
                <w:rFonts w:hint="eastAsia" w:ascii="宋体" w:hAnsi="宋体" w:cs="宋体"/>
                <w:kern w:val="0"/>
                <w:sz w:val="18"/>
                <w:szCs w:val="18"/>
              </w:rPr>
              <w:t>m</w:t>
            </w:r>
          </w:p>
        </w:tc>
        <w:tc>
          <w:tcPr>
            <w:tcW w:w="419" w:type="pct"/>
            <w:tcBorders>
              <w:top w:val="single" w:color="auto" w:sz="4" w:space="0"/>
              <w:left w:val="single" w:color="auto" w:sz="4" w:space="0"/>
              <w:bottom w:val="single" w:color="auto" w:sz="4" w:space="0"/>
              <w:right w:val="single" w:color="auto" w:sz="4" w:space="0"/>
            </w:tcBorders>
            <w:noWrap/>
            <w:vAlign w:val="center"/>
          </w:tcPr>
          <w:p w14:paraId="640D8F6E">
            <w:pPr>
              <w:widowControl/>
              <w:jc w:val="center"/>
              <w:rPr>
                <w:rFonts w:ascii="宋体" w:hAnsi="宋体" w:cs="宋体"/>
                <w:kern w:val="0"/>
                <w:sz w:val="18"/>
                <w:szCs w:val="18"/>
              </w:rPr>
            </w:pPr>
            <w:r>
              <w:rPr>
                <w:rFonts w:hint="eastAsia" w:ascii="宋体" w:hAnsi="宋体" w:cs="宋体"/>
                <w:kern w:val="0"/>
                <w:sz w:val="18"/>
                <w:szCs w:val="18"/>
              </w:rPr>
              <w:t>160</w:t>
            </w:r>
          </w:p>
        </w:tc>
        <w:tc>
          <w:tcPr>
            <w:tcW w:w="669" w:type="pct"/>
            <w:tcBorders>
              <w:top w:val="single" w:color="auto" w:sz="4" w:space="0"/>
              <w:left w:val="single" w:color="auto" w:sz="4" w:space="0"/>
              <w:bottom w:val="single" w:color="auto" w:sz="4" w:space="0"/>
              <w:right w:val="single" w:color="auto" w:sz="4" w:space="0"/>
            </w:tcBorders>
          </w:tcPr>
          <w:p w14:paraId="07B471C5">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7CF859CB">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37DB1947">
            <w:pPr>
              <w:widowControl/>
              <w:jc w:val="left"/>
              <w:rPr>
                <w:rFonts w:ascii="Times New Roman" w:hAnsi="Times New Roman" w:eastAsia="Times New Roman"/>
                <w:kern w:val="0"/>
                <w:sz w:val="20"/>
                <w:szCs w:val="20"/>
              </w:rPr>
            </w:pPr>
          </w:p>
        </w:tc>
      </w:tr>
      <w:tr w14:paraId="2DA56148">
        <w:tblPrEx>
          <w:tblCellMar>
            <w:top w:w="0" w:type="dxa"/>
            <w:left w:w="108" w:type="dxa"/>
            <w:bottom w:w="0" w:type="dxa"/>
            <w:right w:w="108" w:type="dxa"/>
          </w:tblCellMar>
        </w:tblPrEx>
        <w:trPr>
          <w:trHeight w:val="345" w:hRule="atLeast"/>
        </w:trPr>
        <w:tc>
          <w:tcPr>
            <w:tcW w:w="750" w:type="pct"/>
            <w:tcBorders>
              <w:top w:val="nil"/>
              <w:left w:val="single" w:color="auto" w:sz="4" w:space="0"/>
              <w:bottom w:val="single" w:color="auto" w:sz="4" w:space="0"/>
              <w:right w:val="single" w:color="auto" w:sz="4" w:space="0"/>
            </w:tcBorders>
            <w:noWrap/>
            <w:vAlign w:val="center"/>
          </w:tcPr>
          <w:p w14:paraId="1A2BDB56">
            <w:pPr>
              <w:widowControl/>
              <w:jc w:val="center"/>
              <w:rPr>
                <w:rFonts w:ascii="宋体" w:hAnsi="宋体" w:cs="宋体"/>
                <w:kern w:val="0"/>
                <w:sz w:val="18"/>
                <w:szCs w:val="18"/>
              </w:rPr>
            </w:pPr>
            <w:r>
              <w:rPr>
                <w:rFonts w:hint="eastAsia" w:ascii="宋体" w:hAnsi="宋体" w:cs="宋体"/>
                <w:kern w:val="0"/>
                <w:sz w:val="18"/>
                <w:szCs w:val="18"/>
              </w:rPr>
              <w:t>11</w:t>
            </w:r>
          </w:p>
        </w:tc>
        <w:tc>
          <w:tcPr>
            <w:tcW w:w="1016" w:type="pct"/>
            <w:tcBorders>
              <w:top w:val="nil"/>
              <w:left w:val="nil"/>
              <w:bottom w:val="single" w:color="auto" w:sz="4" w:space="0"/>
              <w:right w:val="single" w:color="auto" w:sz="4" w:space="0"/>
            </w:tcBorders>
            <w:vAlign w:val="center"/>
          </w:tcPr>
          <w:p w14:paraId="055325DE">
            <w:pPr>
              <w:widowControl/>
              <w:jc w:val="left"/>
              <w:rPr>
                <w:rFonts w:ascii="宋体" w:hAnsi="宋体" w:cs="宋体"/>
                <w:kern w:val="0"/>
                <w:sz w:val="18"/>
                <w:szCs w:val="18"/>
              </w:rPr>
            </w:pPr>
            <w:r>
              <w:rPr>
                <w:rFonts w:hint="eastAsia" w:ascii="宋体" w:hAnsi="宋体" w:cs="宋体"/>
                <w:kern w:val="0"/>
                <w:sz w:val="18"/>
                <w:szCs w:val="18"/>
              </w:rPr>
              <w:t>电气配管SC20</w:t>
            </w:r>
          </w:p>
        </w:tc>
        <w:tc>
          <w:tcPr>
            <w:tcW w:w="453" w:type="pct"/>
            <w:tcBorders>
              <w:top w:val="single" w:color="auto" w:sz="4" w:space="0"/>
              <w:left w:val="nil"/>
              <w:bottom w:val="single" w:color="auto" w:sz="4" w:space="0"/>
              <w:right w:val="single" w:color="auto" w:sz="4" w:space="0"/>
            </w:tcBorders>
            <w:noWrap/>
            <w:vAlign w:val="center"/>
          </w:tcPr>
          <w:p w14:paraId="22CD348D">
            <w:pPr>
              <w:widowControl/>
              <w:jc w:val="center"/>
              <w:rPr>
                <w:rFonts w:ascii="宋体" w:hAnsi="宋体" w:cs="宋体"/>
                <w:kern w:val="0"/>
                <w:sz w:val="18"/>
                <w:szCs w:val="18"/>
              </w:rPr>
            </w:pPr>
            <w:r>
              <w:rPr>
                <w:rFonts w:hint="eastAsia" w:ascii="宋体" w:hAnsi="宋体" w:cs="宋体"/>
                <w:kern w:val="0"/>
                <w:sz w:val="18"/>
                <w:szCs w:val="18"/>
              </w:rPr>
              <w:t>m</w:t>
            </w:r>
          </w:p>
        </w:tc>
        <w:tc>
          <w:tcPr>
            <w:tcW w:w="419" w:type="pct"/>
            <w:tcBorders>
              <w:top w:val="single" w:color="auto" w:sz="4" w:space="0"/>
              <w:left w:val="single" w:color="auto" w:sz="4" w:space="0"/>
              <w:bottom w:val="single" w:color="auto" w:sz="4" w:space="0"/>
              <w:right w:val="single" w:color="auto" w:sz="4" w:space="0"/>
            </w:tcBorders>
            <w:noWrap/>
            <w:vAlign w:val="center"/>
          </w:tcPr>
          <w:p w14:paraId="61DC2F9A">
            <w:pPr>
              <w:widowControl/>
              <w:jc w:val="center"/>
              <w:rPr>
                <w:rFonts w:ascii="宋体" w:hAnsi="宋体" w:cs="宋体"/>
                <w:kern w:val="0"/>
                <w:sz w:val="18"/>
                <w:szCs w:val="18"/>
              </w:rPr>
            </w:pPr>
            <w:r>
              <w:rPr>
                <w:rFonts w:hint="eastAsia" w:ascii="宋体" w:hAnsi="宋体" w:cs="宋体"/>
                <w:kern w:val="0"/>
                <w:sz w:val="18"/>
                <w:szCs w:val="18"/>
              </w:rPr>
              <w:t>520</w:t>
            </w:r>
          </w:p>
        </w:tc>
        <w:tc>
          <w:tcPr>
            <w:tcW w:w="669" w:type="pct"/>
            <w:tcBorders>
              <w:top w:val="single" w:color="auto" w:sz="4" w:space="0"/>
              <w:left w:val="single" w:color="auto" w:sz="4" w:space="0"/>
              <w:bottom w:val="single" w:color="auto" w:sz="4" w:space="0"/>
              <w:right w:val="single" w:color="auto" w:sz="4" w:space="0"/>
            </w:tcBorders>
          </w:tcPr>
          <w:p w14:paraId="32D81F12">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0A07B413">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375D8A5D">
            <w:pPr>
              <w:widowControl/>
              <w:jc w:val="left"/>
              <w:rPr>
                <w:rFonts w:ascii="Times New Roman" w:hAnsi="Times New Roman" w:eastAsia="Times New Roman"/>
                <w:kern w:val="0"/>
                <w:sz w:val="20"/>
                <w:szCs w:val="20"/>
              </w:rPr>
            </w:pPr>
          </w:p>
        </w:tc>
      </w:tr>
      <w:tr w14:paraId="69D61A4F">
        <w:tblPrEx>
          <w:tblCellMar>
            <w:top w:w="0" w:type="dxa"/>
            <w:left w:w="108" w:type="dxa"/>
            <w:bottom w:w="0" w:type="dxa"/>
            <w:right w:w="108" w:type="dxa"/>
          </w:tblCellMar>
        </w:tblPrEx>
        <w:trPr>
          <w:trHeight w:val="106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20A5331F">
            <w:pPr>
              <w:widowControl/>
              <w:jc w:val="center"/>
              <w:rPr>
                <w:rFonts w:ascii="宋体" w:hAnsi="宋体" w:cs="宋体"/>
                <w:kern w:val="0"/>
                <w:sz w:val="18"/>
                <w:szCs w:val="18"/>
              </w:rPr>
            </w:pPr>
            <w:r>
              <w:rPr>
                <w:rFonts w:hint="eastAsia" w:ascii="宋体" w:hAnsi="宋体" w:cs="宋体"/>
                <w:kern w:val="0"/>
                <w:sz w:val="18"/>
                <w:szCs w:val="18"/>
              </w:rPr>
              <w:t>12</w:t>
            </w:r>
          </w:p>
        </w:tc>
        <w:tc>
          <w:tcPr>
            <w:tcW w:w="1016" w:type="pct"/>
            <w:tcBorders>
              <w:top w:val="single" w:color="auto" w:sz="4" w:space="0"/>
              <w:left w:val="nil"/>
              <w:bottom w:val="single" w:color="auto" w:sz="4" w:space="0"/>
              <w:right w:val="single" w:color="auto" w:sz="4" w:space="0"/>
            </w:tcBorders>
            <w:vAlign w:val="center"/>
          </w:tcPr>
          <w:p w14:paraId="5DEAA2B7">
            <w:pPr>
              <w:widowControl/>
              <w:jc w:val="left"/>
              <w:rPr>
                <w:rFonts w:ascii="宋体" w:hAnsi="宋体" w:cs="宋体"/>
                <w:kern w:val="0"/>
                <w:sz w:val="18"/>
                <w:szCs w:val="18"/>
              </w:rPr>
            </w:pPr>
            <w:r>
              <w:rPr>
                <w:rFonts w:hint="eastAsia" w:ascii="宋体" w:hAnsi="宋体" w:cs="宋体"/>
                <w:kern w:val="0"/>
                <w:sz w:val="18"/>
                <w:szCs w:val="18"/>
              </w:rPr>
              <w:t>站前横路32号物业消防系统设备设施专业竣工图</w:t>
            </w:r>
          </w:p>
        </w:tc>
        <w:tc>
          <w:tcPr>
            <w:tcW w:w="453" w:type="pct"/>
            <w:tcBorders>
              <w:top w:val="single" w:color="auto" w:sz="4" w:space="0"/>
              <w:left w:val="nil"/>
              <w:bottom w:val="single" w:color="auto" w:sz="4" w:space="0"/>
              <w:right w:val="single" w:color="auto" w:sz="4" w:space="0"/>
            </w:tcBorders>
            <w:noWrap/>
            <w:vAlign w:val="center"/>
          </w:tcPr>
          <w:p w14:paraId="0EB74A0A">
            <w:pPr>
              <w:widowControl/>
              <w:jc w:val="center"/>
              <w:rPr>
                <w:rFonts w:ascii="宋体" w:hAnsi="宋体" w:cs="宋体"/>
                <w:kern w:val="0"/>
                <w:sz w:val="18"/>
                <w:szCs w:val="18"/>
              </w:rPr>
            </w:pPr>
            <w:r>
              <w:rPr>
                <w:rFonts w:hint="eastAsia" w:ascii="宋体" w:hAnsi="宋体" w:cs="宋体"/>
                <w:kern w:val="0"/>
                <w:sz w:val="18"/>
                <w:szCs w:val="18"/>
              </w:rPr>
              <w:t>项</w:t>
            </w:r>
          </w:p>
        </w:tc>
        <w:tc>
          <w:tcPr>
            <w:tcW w:w="419" w:type="pct"/>
            <w:tcBorders>
              <w:top w:val="single" w:color="auto" w:sz="4" w:space="0"/>
              <w:left w:val="single" w:color="auto" w:sz="4" w:space="0"/>
              <w:bottom w:val="single" w:color="auto" w:sz="4" w:space="0"/>
              <w:right w:val="single" w:color="auto" w:sz="4" w:space="0"/>
            </w:tcBorders>
            <w:noWrap/>
            <w:vAlign w:val="center"/>
          </w:tcPr>
          <w:p w14:paraId="2D71471F">
            <w:pPr>
              <w:widowControl/>
              <w:jc w:val="center"/>
              <w:rPr>
                <w:rFonts w:ascii="宋体" w:hAnsi="宋体" w:cs="宋体"/>
                <w:kern w:val="0"/>
                <w:sz w:val="18"/>
                <w:szCs w:val="18"/>
              </w:rPr>
            </w:pPr>
            <w:r>
              <w:rPr>
                <w:rFonts w:hint="eastAsia" w:ascii="宋体" w:hAnsi="宋体" w:cs="宋体"/>
                <w:kern w:val="0"/>
                <w:sz w:val="18"/>
                <w:szCs w:val="18"/>
              </w:rPr>
              <w:t>1</w:t>
            </w:r>
          </w:p>
        </w:tc>
        <w:tc>
          <w:tcPr>
            <w:tcW w:w="669" w:type="pct"/>
            <w:tcBorders>
              <w:top w:val="single" w:color="auto" w:sz="4" w:space="0"/>
              <w:left w:val="single" w:color="auto" w:sz="4" w:space="0"/>
              <w:bottom w:val="single" w:color="auto" w:sz="4" w:space="0"/>
              <w:right w:val="single" w:color="auto" w:sz="4" w:space="0"/>
            </w:tcBorders>
          </w:tcPr>
          <w:p w14:paraId="34417B92">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049F8D42">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03E86BB5">
            <w:pPr>
              <w:widowControl/>
              <w:jc w:val="left"/>
              <w:rPr>
                <w:rFonts w:ascii="Times New Roman" w:hAnsi="Times New Roman" w:eastAsia="Times New Roman"/>
                <w:kern w:val="0"/>
                <w:sz w:val="20"/>
                <w:szCs w:val="20"/>
              </w:rPr>
            </w:pPr>
          </w:p>
        </w:tc>
      </w:tr>
      <w:tr w14:paraId="04CDF88F">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071EEB6A">
            <w:pPr>
              <w:widowControl/>
              <w:jc w:val="center"/>
              <w:rPr>
                <w:rFonts w:ascii="宋体" w:hAnsi="宋体" w:cs="宋体"/>
                <w:kern w:val="0"/>
                <w:sz w:val="18"/>
                <w:szCs w:val="18"/>
              </w:rPr>
            </w:pPr>
            <w:r>
              <w:rPr>
                <w:rFonts w:hint="eastAsia" w:ascii="宋体" w:hAnsi="宋体" w:cs="宋体"/>
                <w:kern w:val="0"/>
                <w:sz w:val="18"/>
                <w:szCs w:val="18"/>
              </w:rPr>
              <w:t>13</w:t>
            </w:r>
          </w:p>
        </w:tc>
        <w:tc>
          <w:tcPr>
            <w:tcW w:w="1016" w:type="pct"/>
            <w:tcBorders>
              <w:top w:val="single" w:color="auto" w:sz="4" w:space="0"/>
              <w:left w:val="nil"/>
              <w:bottom w:val="single" w:color="auto" w:sz="4" w:space="0"/>
              <w:right w:val="single" w:color="auto" w:sz="4" w:space="0"/>
            </w:tcBorders>
            <w:vAlign w:val="center"/>
          </w:tcPr>
          <w:p w14:paraId="4474E388">
            <w:pPr>
              <w:widowControl/>
              <w:jc w:val="left"/>
              <w:rPr>
                <w:rFonts w:ascii="宋体" w:hAnsi="宋体" w:cs="宋体"/>
                <w:kern w:val="0"/>
                <w:sz w:val="18"/>
                <w:szCs w:val="18"/>
              </w:rPr>
            </w:pPr>
            <w:r>
              <w:rPr>
                <w:rFonts w:hint="eastAsia" w:ascii="宋体" w:hAnsi="宋体" w:cs="宋体"/>
                <w:kern w:val="0"/>
                <w:sz w:val="18"/>
                <w:szCs w:val="18"/>
              </w:rPr>
              <w:t>火灾自动报警系统（联动）调试</w:t>
            </w:r>
          </w:p>
        </w:tc>
        <w:tc>
          <w:tcPr>
            <w:tcW w:w="453" w:type="pct"/>
            <w:tcBorders>
              <w:top w:val="single" w:color="auto" w:sz="4" w:space="0"/>
              <w:left w:val="nil"/>
              <w:bottom w:val="single" w:color="auto" w:sz="4" w:space="0"/>
              <w:right w:val="single" w:color="auto" w:sz="4" w:space="0"/>
            </w:tcBorders>
            <w:noWrap/>
            <w:vAlign w:val="center"/>
          </w:tcPr>
          <w:p w14:paraId="70E87C3C">
            <w:pPr>
              <w:widowControl/>
              <w:jc w:val="center"/>
              <w:rPr>
                <w:rFonts w:ascii="宋体" w:hAnsi="宋体" w:cs="宋体"/>
                <w:kern w:val="0"/>
                <w:sz w:val="18"/>
                <w:szCs w:val="18"/>
              </w:rPr>
            </w:pPr>
            <w:r>
              <w:rPr>
                <w:rFonts w:hint="eastAsia" w:ascii="宋体" w:hAnsi="宋体" w:cs="宋体"/>
                <w:kern w:val="0"/>
                <w:sz w:val="18"/>
                <w:szCs w:val="18"/>
              </w:rPr>
              <w:t>项</w:t>
            </w:r>
          </w:p>
        </w:tc>
        <w:tc>
          <w:tcPr>
            <w:tcW w:w="419" w:type="pct"/>
            <w:tcBorders>
              <w:top w:val="single" w:color="auto" w:sz="4" w:space="0"/>
              <w:left w:val="single" w:color="auto" w:sz="4" w:space="0"/>
              <w:bottom w:val="single" w:color="auto" w:sz="4" w:space="0"/>
              <w:right w:val="single" w:color="auto" w:sz="4" w:space="0"/>
            </w:tcBorders>
            <w:noWrap/>
            <w:vAlign w:val="center"/>
          </w:tcPr>
          <w:p w14:paraId="753EB2F4">
            <w:pPr>
              <w:widowControl/>
              <w:jc w:val="center"/>
              <w:rPr>
                <w:rFonts w:ascii="宋体" w:hAnsi="宋体" w:cs="宋体"/>
                <w:kern w:val="0"/>
                <w:sz w:val="18"/>
                <w:szCs w:val="18"/>
              </w:rPr>
            </w:pPr>
            <w:r>
              <w:rPr>
                <w:rFonts w:hint="eastAsia" w:ascii="宋体" w:hAnsi="宋体" w:cs="宋体"/>
                <w:kern w:val="0"/>
                <w:sz w:val="18"/>
                <w:szCs w:val="18"/>
              </w:rPr>
              <w:t>1</w:t>
            </w:r>
          </w:p>
        </w:tc>
        <w:tc>
          <w:tcPr>
            <w:tcW w:w="669" w:type="pct"/>
            <w:tcBorders>
              <w:top w:val="single" w:color="auto" w:sz="4" w:space="0"/>
              <w:left w:val="single" w:color="auto" w:sz="4" w:space="0"/>
              <w:bottom w:val="single" w:color="auto" w:sz="4" w:space="0"/>
              <w:right w:val="single" w:color="auto" w:sz="4" w:space="0"/>
            </w:tcBorders>
          </w:tcPr>
          <w:p w14:paraId="2B21BCCB">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0913620C">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64033A3C">
            <w:pPr>
              <w:widowControl/>
              <w:jc w:val="left"/>
              <w:rPr>
                <w:rFonts w:ascii="Times New Roman" w:hAnsi="Times New Roman" w:eastAsia="Times New Roman"/>
                <w:kern w:val="0"/>
                <w:sz w:val="20"/>
                <w:szCs w:val="20"/>
              </w:rPr>
            </w:pPr>
          </w:p>
        </w:tc>
      </w:tr>
      <w:tr w14:paraId="0F92DA8B">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4C885E6A">
            <w:pPr>
              <w:widowControl/>
              <w:jc w:val="center"/>
              <w:rPr>
                <w:rFonts w:ascii="宋体" w:hAnsi="宋体" w:cs="宋体"/>
                <w:kern w:val="0"/>
                <w:sz w:val="18"/>
                <w:szCs w:val="18"/>
              </w:rPr>
            </w:pPr>
            <w:r>
              <w:rPr>
                <w:rFonts w:hint="eastAsia" w:ascii="宋体" w:hAnsi="宋体" w:cs="宋体"/>
                <w:kern w:val="0"/>
                <w:sz w:val="18"/>
                <w:szCs w:val="18"/>
              </w:rPr>
              <w:t>14</w:t>
            </w:r>
          </w:p>
        </w:tc>
        <w:tc>
          <w:tcPr>
            <w:tcW w:w="1016" w:type="pct"/>
            <w:tcBorders>
              <w:top w:val="single" w:color="auto" w:sz="4" w:space="0"/>
              <w:left w:val="nil"/>
              <w:bottom w:val="single" w:color="auto" w:sz="4" w:space="0"/>
              <w:right w:val="single" w:color="auto" w:sz="4" w:space="0"/>
            </w:tcBorders>
            <w:vAlign w:val="center"/>
          </w:tcPr>
          <w:p w14:paraId="5DEF8DFA">
            <w:pPr>
              <w:widowControl/>
              <w:jc w:val="left"/>
              <w:rPr>
                <w:rFonts w:ascii="宋体" w:hAnsi="宋体" w:cs="宋体"/>
                <w:kern w:val="0"/>
                <w:sz w:val="18"/>
                <w:szCs w:val="18"/>
              </w:rPr>
            </w:pPr>
            <w:r>
              <w:rPr>
                <w:rFonts w:hint="eastAsia" w:ascii="宋体" w:hAnsi="宋体" w:cs="宋体"/>
                <w:kern w:val="0"/>
                <w:sz w:val="18"/>
                <w:szCs w:val="18"/>
              </w:rPr>
              <w:t>增加消防栓</w:t>
            </w:r>
          </w:p>
        </w:tc>
        <w:tc>
          <w:tcPr>
            <w:tcW w:w="453" w:type="pct"/>
            <w:tcBorders>
              <w:top w:val="single" w:color="auto" w:sz="4" w:space="0"/>
              <w:left w:val="nil"/>
              <w:bottom w:val="single" w:color="auto" w:sz="4" w:space="0"/>
              <w:right w:val="single" w:color="auto" w:sz="4" w:space="0"/>
            </w:tcBorders>
            <w:noWrap/>
            <w:vAlign w:val="center"/>
          </w:tcPr>
          <w:p w14:paraId="07CD95DA">
            <w:pPr>
              <w:widowControl/>
              <w:jc w:val="center"/>
              <w:rPr>
                <w:rFonts w:ascii="宋体" w:hAnsi="宋体" w:cs="宋体"/>
                <w:kern w:val="0"/>
                <w:sz w:val="18"/>
                <w:szCs w:val="18"/>
              </w:rPr>
            </w:pPr>
            <w:r>
              <w:rPr>
                <w:rFonts w:hint="eastAsia" w:ascii="宋体" w:hAnsi="宋体" w:cs="宋体"/>
                <w:kern w:val="0"/>
                <w:sz w:val="18"/>
                <w:szCs w:val="18"/>
              </w:rPr>
              <w:t>个</w:t>
            </w:r>
          </w:p>
        </w:tc>
        <w:tc>
          <w:tcPr>
            <w:tcW w:w="419" w:type="pct"/>
            <w:tcBorders>
              <w:top w:val="single" w:color="auto" w:sz="4" w:space="0"/>
              <w:left w:val="single" w:color="auto" w:sz="4" w:space="0"/>
              <w:bottom w:val="single" w:color="auto" w:sz="4" w:space="0"/>
              <w:right w:val="single" w:color="auto" w:sz="4" w:space="0"/>
            </w:tcBorders>
            <w:noWrap/>
            <w:vAlign w:val="center"/>
          </w:tcPr>
          <w:p w14:paraId="37496B6D">
            <w:pPr>
              <w:widowControl/>
              <w:jc w:val="center"/>
              <w:rPr>
                <w:rFonts w:ascii="宋体" w:hAnsi="宋体" w:cs="宋体"/>
                <w:kern w:val="0"/>
                <w:sz w:val="18"/>
                <w:szCs w:val="18"/>
              </w:rPr>
            </w:pPr>
            <w:r>
              <w:rPr>
                <w:rFonts w:hint="eastAsia" w:ascii="宋体" w:hAnsi="宋体" w:cs="宋体"/>
                <w:kern w:val="0"/>
                <w:sz w:val="18"/>
                <w:szCs w:val="18"/>
              </w:rPr>
              <w:t>1</w:t>
            </w:r>
          </w:p>
        </w:tc>
        <w:tc>
          <w:tcPr>
            <w:tcW w:w="669" w:type="pct"/>
            <w:tcBorders>
              <w:top w:val="single" w:color="auto" w:sz="4" w:space="0"/>
              <w:left w:val="single" w:color="auto" w:sz="4" w:space="0"/>
              <w:bottom w:val="single" w:color="auto" w:sz="4" w:space="0"/>
              <w:right w:val="single" w:color="auto" w:sz="4" w:space="0"/>
            </w:tcBorders>
          </w:tcPr>
          <w:p w14:paraId="76794BAF">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703D1790">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4EF21560">
            <w:pPr>
              <w:widowControl/>
              <w:jc w:val="left"/>
              <w:rPr>
                <w:rFonts w:ascii="Times New Roman" w:hAnsi="Times New Roman" w:eastAsia="Times New Roman"/>
                <w:kern w:val="0"/>
                <w:sz w:val="20"/>
                <w:szCs w:val="20"/>
              </w:rPr>
            </w:pPr>
          </w:p>
        </w:tc>
      </w:tr>
      <w:tr w14:paraId="3078D655">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58249AFF">
            <w:pPr>
              <w:widowControl/>
              <w:jc w:val="center"/>
              <w:rPr>
                <w:rFonts w:ascii="宋体" w:hAnsi="宋体" w:cs="宋体"/>
                <w:kern w:val="0"/>
                <w:sz w:val="18"/>
                <w:szCs w:val="18"/>
              </w:rPr>
            </w:pPr>
            <w:r>
              <w:rPr>
                <w:rFonts w:hint="eastAsia" w:ascii="宋体" w:hAnsi="宋体" w:cs="宋体"/>
                <w:kern w:val="0"/>
                <w:sz w:val="18"/>
                <w:szCs w:val="18"/>
              </w:rPr>
              <w:t>15</w:t>
            </w:r>
          </w:p>
        </w:tc>
        <w:tc>
          <w:tcPr>
            <w:tcW w:w="1016" w:type="pct"/>
            <w:tcBorders>
              <w:top w:val="single" w:color="auto" w:sz="4" w:space="0"/>
              <w:left w:val="nil"/>
              <w:bottom w:val="single" w:color="auto" w:sz="4" w:space="0"/>
              <w:right w:val="single" w:color="auto" w:sz="4" w:space="0"/>
            </w:tcBorders>
            <w:vAlign w:val="center"/>
          </w:tcPr>
          <w:p w14:paraId="08F50FDD">
            <w:pPr>
              <w:widowControl/>
              <w:jc w:val="left"/>
              <w:rPr>
                <w:rFonts w:ascii="宋体" w:hAnsi="宋体" w:cs="宋体"/>
                <w:kern w:val="0"/>
                <w:sz w:val="18"/>
                <w:szCs w:val="18"/>
              </w:rPr>
            </w:pPr>
            <w:r>
              <w:rPr>
                <w:rFonts w:hint="eastAsia" w:ascii="宋体" w:hAnsi="宋体" w:cs="宋体"/>
                <w:kern w:val="0"/>
                <w:sz w:val="18"/>
                <w:szCs w:val="18"/>
              </w:rPr>
              <w:t>消防栓移位</w:t>
            </w:r>
          </w:p>
        </w:tc>
        <w:tc>
          <w:tcPr>
            <w:tcW w:w="453" w:type="pct"/>
            <w:tcBorders>
              <w:top w:val="single" w:color="auto" w:sz="4" w:space="0"/>
              <w:left w:val="nil"/>
              <w:bottom w:val="single" w:color="auto" w:sz="4" w:space="0"/>
              <w:right w:val="single" w:color="auto" w:sz="4" w:space="0"/>
            </w:tcBorders>
            <w:noWrap/>
            <w:vAlign w:val="center"/>
          </w:tcPr>
          <w:p w14:paraId="737BADC2">
            <w:pPr>
              <w:widowControl/>
              <w:jc w:val="center"/>
              <w:rPr>
                <w:rFonts w:ascii="宋体" w:hAnsi="宋体" w:cs="宋体"/>
                <w:kern w:val="0"/>
                <w:sz w:val="18"/>
                <w:szCs w:val="18"/>
              </w:rPr>
            </w:pPr>
            <w:r>
              <w:rPr>
                <w:rFonts w:hint="eastAsia" w:ascii="宋体" w:hAnsi="宋体" w:cs="宋体"/>
                <w:kern w:val="0"/>
                <w:sz w:val="18"/>
                <w:szCs w:val="18"/>
              </w:rPr>
              <w:t>个</w:t>
            </w:r>
          </w:p>
        </w:tc>
        <w:tc>
          <w:tcPr>
            <w:tcW w:w="419" w:type="pct"/>
            <w:tcBorders>
              <w:top w:val="single" w:color="auto" w:sz="4" w:space="0"/>
              <w:left w:val="single" w:color="auto" w:sz="4" w:space="0"/>
              <w:bottom w:val="single" w:color="auto" w:sz="4" w:space="0"/>
              <w:right w:val="single" w:color="auto" w:sz="4" w:space="0"/>
            </w:tcBorders>
            <w:noWrap/>
            <w:vAlign w:val="center"/>
          </w:tcPr>
          <w:p w14:paraId="5A324F40">
            <w:pPr>
              <w:widowControl/>
              <w:jc w:val="center"/>
              <w:rPr>
                <w:rFonts w:ascii="宋体" w:hAnsi="宋体" w:cs="宋体"/>
                <w:kern w:val="0"/>
                <w:sz w:val="18"/>
                <w:szCs w:val="18"/>
              </w:rPr>
            </w:pPr>
            <w:r>
              <w:rPr>
                <w:rFonts w:hint="eastAsia" w:ascii="宋体" w:hAnsi="宋体" w:cs="宋体"/>
                <w:kern w:val="0"/>
                <w:sz w:val="18"/>
                <w:szCs w:val="18"/>
              </w:rPr>
              <w:t>3</w:t>
            </w:r>
          </w:p>
        </w:tc>
        <w:tc>
          <w:tcPr>
            <w:tcW w:w="669" w:type="pct"/>
            <w:tcBorders>
              <w:top w:val="single" w:color="auto" w:sz="4" w:space="0"/>
              <w:left w:val="single" w:color="auto" w:sz="4" w:space="0"/>
              <w:bottom w:val="single" w:color="auto" w:sz="4" w:space="0"/>
              <w:right w:val="single" w:color="auto" w:sz="4" w:space="0"/>
            </w:tcBorders>
          </w:tcPr>
          <w:p w14:paraId="63BE045C">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408F9EBB">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580FB821">
            <w:pPr>
              <w:widowControl/>
              <w:jc w:val="left"/>
              <w:rPr>
                <w:rFonts w:ascii="Times New Roman" w:hAnsi="Times New Roman" w:eastAsia="Times New Roman"/>
                <w:kern w:val="0"/>
                <w:sz w:val="20"/>
                <w:szCs w:val="20"/>
              </w:rPr>
            </w:pPr>
          </w:p>
        </w:tc>
      </w:tr>
      <w:tr w14:paraId="488E5134">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30C59D58">
            <w:pPr>
              <w:widowControl/>
              <w:jc w:val="center"/>
              <w:rPr>
                <w:rFonts w:ascii="宋体" w:hAnsi="宋体" w:cs="宋体"/>
                <w:kern w:val="0"/>
                <w:sz w:val="18"/>
                <w:szCs w:val="18"/>
              </w:rPr>
            </w:pPr>
            <w:r>
              <w:rPr>
                <w:rFonts w:hint="eastAsia" w:ascii="宋体" w:hAnsi="宋体" w:cs="宋体"/>
                <w:kern w:val="0"/>
                <w:sz w:val="18"/>
                <w:szCs w:val="18"/>
              </w:rPr>
              <w:t>三</w:t>
            </w:r>
          </w:p>
        </w:tc>
        <w:tc>
          <w:tcPr>
            <w:tcW w:w="4250" w:type="pct"/>
            <w:gridSpan w:val="6"/>
            <w:tcBorders>
              <w:top w:val="single" w:color="auto" w:sz="4" w:space="0"/>
              <w:left w:val="nil"/>
              <w:bottom w:val="single" w:color="auto" w:sz="4" w:space="0"/>
              <w:right w:val="single" w:color="auto" w:sz="4" w:space="0"/>
            </w:tcBorders>
            <w:vAlign w:val="center"/>
          </w:tcPr>
          <w:p w14:paraId="134C3FBD">
            <w:pPr>
              <w:widowControl/>
              <w:jc w:val="left"/>
              <w:rPr>
                <w:rFonts w:ascii="Times New Roman" w:hAnsi="Times New Roman" w:eastAsia="Times New Roman"/>
                <w:kern w:val="0"/>
                <w:sz w:val="20"/>
                <w:szCs w:val="20"/>
              </w:rPr>
            </w:pPr>
            <w:r>
              <w:rPr>
                <w:rFonts w:hint="eastAsia" w:ascii="宋体" w:hAnsi="宋体" w:cs="宋体"/>
                <w:kern w:val="0"/>
                <w:sz w:val="20"/>
                <w:szCs w:val="20"/>
              </w:rPr>
              <w:t>其他</w:t>
            </w:r>
          </w:p>
        </w:tc>
      </w:tr>
      <w:tr w14:paraId="1B733E23">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1470F33D">
            <w:pPr>
              <w:widowControl/>
              <w:jc w:val="center"/>
              <w:rPr>
                <w:rFonts w:ascii="宋体" w:hAnsi="宋体" w:cs="宋体"/>
                <w:kern w:val="0"/>
                <w:sz w:val="18"/>
                <w:szCs w:val="18"/>
              </w:rPr>
            </w:pPr>
            <w:r>
              <w:rPr>
                <w:rFonts w:hint="eastAsia" w:ascii="宋体" w:hAnsi="宋体" w:cs="宋体"/>
                <w:kern w:val="0"/>
                <w:sz w:val="18"/>
                <w:szCs w:val="18"/>
              </w:rPr>
              <w:t>1</w:t>
            </w:r>
          </w:p>
        </w:tc>
        <w:tc>
          <w:tcPr>
            <w:tcW w:w="1016" w:type="pct"/>
            <w:tcBorders>
              <w:top w:val="single" w:color="auto" w:sz="4" w:space="0"/>
              <w:left w:val="nil"/>
              <w:bottom w:val="single" w:color="auto" w:sz="4" w:space="0"/>
              <w:right w:val="single" w:color="auto" w:sz="4" w:space="0"/>
            </w:tcBorders>
            <w:vAlign w:val="center"/>
          </w:tcPr>
          <w:p w14:paraId="649DE171">
            <w:pPr>
              <w:widowControl/>
              <w:jc w:val="left"/>
              <w:rPr>
                <w:rFonts w:ascii="宋体" w:hAnsi="宋体" w:cs="宋体"/>
                <w:kern w:val="0"/>
                <w:sz w:val="18"/>
                <w:szCs w:val="18"/>
              </w:rPr>
            </w:pPr>
            <w:r>
              <w:rPr>
                <w:rFonts w:hint="eastAsia" w:ascii="宋体" w:hAnsi="宋体" w:cs="宋体"/>
                <w:kern w:val="0"/>
                <w:sz w:val="18"/>
                <w:szCs w:val="18"/>
              </w:rPr>
              <w:t>干粉灭火器4KG</w:t>
            </w:r>
          </w:p>
        </w:tc>
        <w:tc>
          <w:tcPr>
            <w:tcW w:w="453" w:type="pct"/>
            <w:tcBorders>
              <w:top w:val="single" w:color="auto" w:sz="4" w:space="0"/>
              <w:left w:val="nil"/>
              <w:bottom w:val="single" w:color="auto" w:sz="4" w:space="0"/>
              <w:right w:val="single" w:color="auto" w:sz="4" w:space="0"/>
            </w:tcBorders>
            <w:noWrap/>
            <w:vAlign w:val="center"/>
          </w:tcPr>
          <w:p w14:paraId="20E5C12A">
            <w:pPr>
              <w:widowControl/>
              <w:jc w:val="center"/>
              <w:rPr>
                <w:rFonts w:ascii="宋体" w:hAnsi="宋体" w:cs="宋体"/>
                <w:kern w:val="0"/>
                <w:sz w:val="18"/>
                <w:szCs w:val="18"/>
              </w:rPr>
            </w:pPr>
            <w:r>
              <w:rPr>
                <w:rFonts w:hint="eastAsia" w:ascii="宋体" w:hAnsi="宋体" w:cs="宋体"/>
                <w:kern w:val="0"/>
                <w:sz w:val="18"/>
                <w:szCs w:val="18"/>
              </w:rPr>
              <w:t>个</w:t>
            </w:r>
          </w:p>
        </w:tc>
        <w:tc>
          <w:tcPr>
            <w:tcW w:w="419" w:type="pct"/>
            <w:tcBorders>
              <w:top w:val="single" w:color="auto" w:sz="4" w:space="0"/>
              <w:left w:val="single" w:color="auto" w:sz="4" w:space="0"/>
              <w:bottom w:val="single" w:color="auto" w:sz="4" w:space="0"/>
              <w:right w:val="single" w:color="auto" w:sz="4" w:space="0"/>
            </w:tcBorders>
            <w:noWrap/>
            <w:vAlign w:val="center"/>
          </w:tcPr>
          <w:p w14:paraId="3BA78511">
            <w:pPr>
              <w:widowControl/>
              <w:jc w:val="center"/>
              <w:rPr>
                <w:rFonts w:ascii="宋体" w:hAnsi="宋体" w:cs="宋体"/>
                <w:kern w:val="0"/>
                <w:sz w:val="18"/>
                <w:szCs w:val="18"/>
              </w:rPr>
            </w:pPr>
            <w:r>
              <w:rPr>
                <w:rFonts w:hint="eastAsia" w:ascii="宋体" w:hAnsi="宋体" w:cs="宋体"/>
                <w:kern w:val="0"/>
                <w:sz w:val="18"/>
                <w:szCs w:val="18"/>
              </w:rPr>
              <w:t>52</w:t>
            </w:r>
          </w:p>
        </w:tc>
        <w:tc>
          <w:tcPr>
            <w:tcW w:w="669" w:type="pct"/>
            <w:tcBorders>
              <w:top w:val="single" w:color="auto" w:sz="4" w:space="0"/>
              <w:left w:val="single" w:color="auto" w:sz="4" w:space="0"/>
              <w:bottom w:val="single" w:color="auto" w:sz="4" w:space="0"/>
              <w:right w:val="single" w:color="auto" w:sz="4" w:space="0"/>
            </w:tcBorders>
          </w:tcPr>
          <w:p w14:paraId="15A48901">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661A2CA2">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21AC9055">
            <w:pPr>
              <w:widowControl/>
              <w:jc w:val="left"/>
              <w:rPr>
                <w:rFonts w:ascii="Times New Roman" w:hAnsi="Times New Roman" w:eastAsia="Times New Roman"/>
                <w:kern w:val="0"/>
                <w:sz w:val="20"/>
                <w:szCs w:val="20"/>
              </w:rPr>
            </w:pPr>
          </w:p>
        </w:tc>
      </w:tr>
      <w:tr w14:paraId="781A596F">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2E018E0E">
            <w:pPr>
              <w:widowControl/>
              <w:jc w:val="center"/>
              <w:rPr>
                <w:rFonts w:ascii="宋体" w:hAnsi="宋体" w:cs="宋体"/>
                <w:kern w:val="0"/>
                <w:sz w:val="18"/>
                <w:szCs w:val="18"/>
              </w:rPr>
            </w:pPr>
            <w:r>
              <w:rPr>
                <w:rFonts w:hint="eastAsia" w:ascii="宋体" w:hAnsi="宋体" w:cs="宋体"/>
                <w:kern w:val="0"/>
                <w:sz w:val="18"/>
                <w:szCs w:val="18"/>
              </w:rPr>
              <w:t>2</w:t>
            </w:r>
          </w:p>
        </w:tc>
        <w:tc>
          <w:tcPr>
            <w:tcW w:w="1016" w:type="pct"/>
            <w:tcBorders>
              <w:top w:val="single" w:color="auto" w:sz="4" w:space="0"/>
              <w:left w:val="nil"/>
              <w:bottom w:val="single" w:color="auto" w:sz="4" w:space="0"/>
              <w:right w:val="single" w:color="auto" w:sz="4" w:space="0"/>
            </w:tcBorders>
            <w:vAlign w:val="center"/>
          </w:tcPr>
          <w:p w14:paraId="316BBC8F">
            <w:pPr>
              <w:widowControl/>
              <w:jc w:val="left"/>
              <w:rPr>
                <w:rFonts w:ascii="宋体" w:hAnsi="宋体" w:cs="宋体"/>
                <w:kern w:val="0"/>
                <w:sz w:val="18"/>
                <w:szCs w:val="18"/>
              </w:rPr>
            </w:pPr>
            <w:r>
              <w:rPr>
                <w:rFonts w:hint="eastAsia" w:ascii="宋体" w:hAnsi="宋体" w:cs="宋体"/>
                <w:kern w:val="0"/>
                <w:sz w:val="18"/>
                <w:szCs w:val="18"/>
              </w:rPr>
              <w:t>防毒面具</w:t>
            </w:r>
          </w:p>
        </w:tc>
        <w:tc>
          <w:tcPr>
            <w:tcW w:w="453" w:type="pct"/>
            <w:tcBorders>
              <w:top w:val="single" w:color="auto" w:sz="4" w:space="0"/>
              <w:left w:val="nil"/>
              <w:bottom w:val="single" w:color="auto" w:sz="4" w:space="0"/>
              <w:right w:val="single" w:color="auto" w:sz="4" w:space="0"/>
            </w:tcBorders>
            <w:noWrap/>
            <w:vAlign w:val="center"/>
          </w:tcPr>
          <w:p w14:paraId="77EB7E3D">
            <w:pPr>
              <w:widowControl/>
              <w:jc w:val="center"/>
              <w:rPr>
                <w:rFonts w:ascii="宋体" w:hAnsi="宋体" w:cs="宋体"/>
                <w:kern w:val="0"/>
                <w:sz w:val="18"/>
                <w:szCs w:val="18"/>
              </w:rPr>
            </w:pPr>
            <w:r>
              <w:rPr>
                <w:rFonts w:hint="eastAsia" w:ascii="宋体" w:hAnsi="宋体" w:cs="宋体"/>
                <w:kern w:val="0"/>
                <w:sz w:val="18"/>
                <w:szCs w:val="18"/>
              </w:rPr>
              <w:t>个</w:t>
            </w:r>
          </w:p>
        </w:tc>
        <w:tc>
          <w:tcPr>
            <w:tcW w:w="419" w:type="pct"/>
            <w:tcBorders>
              <w:top w:val="single" w:color="auto" w:sz="4" w:space="0"/>
              <w:left w:val="single" w:color="auto" w:sz="4" w:space="0"/>
              <w:bottom w:val="single" w:color="auto" w:sz="4" w:space="0"/>
              <w:right w:val="single" w:color="auto" w:sz="4" w:space="0"/>
            </w:tcBorders>
            <w:noWrap/>
            <w:vAlign w:val="center"/>
          </w:tcPr>
          <w:p w14:paraId="02497A33">
            <w:pPr>
              <w:widowControl/>
              <w:jc w:val="center"/>
              <w:rPr>
                <w:rFonts w:ascii="宋体" w:hAnsi="宋体" w:cs="宋体"/>
                <w:kern w:val="0"/>
                <w:sz w:val="18"/>
                <w:szCs w:val="18"/>
              </w:rPr>
            </w:pPr>
            <w:r>
              <w:rPr>
                <w:rFonts w:hint="eastAsia" w:ascii="宋体" w:hAnsi="宋体" w:cs="宋体"/>
                <w:kern w:val="0"/>
                <w:sz w:val="18"/>
                <w:szCs w:val="18"/>
              </w:rPr>
              <w:t>138</w:t>
            </w:r>
          </w:p>
        </w:tc>
        <w:tc>
          <w:tcPr>
            <w:tcW w:w="669" w:type="pct"/>
            <w:tcBorders>
              <w:top w:val="single" w:color="auto" w:sz="4" w:space="0"/>
              <w:left w:val="single" w:color="auto" w:sz="4" w:space="0"/>
              <w:bottom w:val="single" w:color="auto" w:sz="4" w:space="0"/>
              <w:right w:val="single" w:color="auto" w:sz="4" w:space="0"/>
            </w:tcBorders>
          </w:tcPr>
          <w:p w14:paraId="2F07521B">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67B5AB34">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2BEE7DC6">
            <w:pPr>
              <w:widowControl/>
              <w:jc w:val="left"/>
              <w:rPr>
                <w:rFonts w:ascii="Times New Roman" w:hAnsi="Times New Roman" w:eastAsia="Times New Roman"/>
                <w:kern w:val="0"/>
                <w:sz w:val="20"/>
                <w:szCs w:val="20"/>
              </w:rPr>
            </w:pPr>
          </w:p>
        </w:tc>
      </w:tr>
      <w:tr w14:paraId="1660DE26">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712C8C13">
            <w:pPr>
              <w:widowControl/>
              <w:jc w:val="center"/>
              <w:rPr>
                <w:rFonts w:ascii="宋体" w:hAnsi="宋体" w:cs="宋体"/>
                <w:kern w:val="0"/>
                <w:sz w:val="18"/>
                <w:szCs w:val="18"/>
              </w:rPr>
            </w:pPr>
            <w:r>
              <w:rPr>
                <w:rFonts w:hint="eastAsia" w:ascii="宋体" w:hAnsi="宋体" w:cs="宋体"/>
                <w:kern w:val="0"/>
                <w:sz w:val="18"/>
                <w:szCs w:val="18"/>
              </w:rPr>
              <w:t>3</w:t>
            </w:r>
          </w:p>
        </w:tc>
        <w:tc>
          <w:tcPr>
            <w:tcW w:w="1016" w:type="pct"/>
            <w:tcBorders>
              <w:top w:val="single" w:color="auto" w:sz="4" w:space="0"/>
              <w:left w:val="nil"/>
              <w:bottom w:val="single" w:color="auto" w:sz="4" w:space="0"/>
              <w:right w:val="single" w:color="auto" w:sz="4" w:space="0"/>
            </w:tcBorders>
            <w:vAlign w:val="center"/>
          </w:tcPr>
          <w:p w14:paraId="0343DB89">
            <w:pPr>
              <w:widowControl/>
              <w:jc w:val="left"/>
              <w:rPr>
                <w:rFonts w:ascii="宋体" w:hAnsi="宋体" w:cs="宋体"/>
                <w:kern w:val="0"/>
                <w:sz w:val="18"/>
                <w:szCs w:val="18"/>
              </w:rPr>
            </w:pPr>
            <w:r>
              <w:rPr>
                <w:rFonts w:hint="eastAsia" w:ascii="宋体" w:hAnsi="宋体" w:cs="宋体"/>
                <w:kern w:val="0"/>
                <w:sz w:val="18"/>
                <w:szCs w:val="18"/>
              </w:rPr>
              <w:t>应急灯</w:t>
            </w:r>
          </w:p>
        </w:tc>
        <w:tc>
          <w:tcPr>
            <w:tcW w:w="453" w:type="pct"/>
            <w:tcBorders>
              <w:top w:val="single" w:color="auto" w:sz="4" w:space="0"/>
              <w:left w:val="nil"/>
              <w:bottom w:val="single" w:color="auto" w:sz="4" w:space="0"/>
              <w:right w:val="single" w:color="auto" w:sz="4" w:space="0"/>
            </w:tcBorders>
            <w:noWrap/>
            <w:vAlign w:val="center"/>
          </w:tcPr>
          <w:p w14:paraId="54817BF8">
            <w:pPr>
              <w:widowControl/>
              <w:jc w:val="center"/>
              <w:rPr>
                <w:rFonts w:ascii="宋体" w:hAnsi="宋体" w:cs="宋体"/>
                <w:kern w:val="0"/>
                <w:sz w:val="18"/>
                <w:szCs w:val="18"/>
              </w:rPr>
            </w:pPr>
            <w:r>
              <w:rPr>
                <w:rFonts w:hint="eastAsia" w:ascii="宋体" w:hAnsi="宋体" w:cs="宋体"/>
                <w:kern w:val="0"/>
                <w:sz w:val="18"/>
                <w:szCs w:val="18"/>
              </w:rPr>
              <w:t>盏</w:t>
            </w:r>
          </w:p>
        </w:tc>
        <w:tc>
          <w:tcPr>
            <w:tcW w:w="419" w:type="pct"/>
            <w:tcBorders>
              <w:top w:val="single" w:color="auto" w:sz="4" w:space="0"/>
              <w:left w:val="single" w:color="auto" w:sz="4" w:space="0"/>
              <w:bottom w:val="single" w:color="auto" w:sz="4" w:space="0"/>
              <w:right w:val="single" w:color="auto" w:sz="4" w:space="0"/>
            </w:tcBorders>
            <w:noWrap/>
            <w:vAlign w:val="center"/>
          </w:tcPr>
          <w:p w14:paraId="11D5B0EA">
            <w:pPr>
              <w:widowControl/>
              <w:jc w:val="center"/>
              <w:rPr>
                <w:rFonts w:ascii="宋体" w:hAnsi="宋体" w:cs="宋体"/>
                <w:kern w:val="0"/>
                <w:sz w:val="18"/>
                <w:szCs w:val="18"/>
              </w:rPr>
            </w:pPr>
            <w:r>
              <w:rPr>
                <w:rFonts w:hint="eastAsia" w:ascii="宋体" w:hAnsi="宋体" w:cs="宋体"/>
                <w:kern w:val="0"/>
                <w:sz w:val="18"/>
                <w:szCs w:val="18"/>
              </w:rPr>
              <w:t>15</w:t>
            </w:r>
          </w:p>
        </w:tc>
        <w:tc>
          <w:tcPr>
            <w:tcW w:w="669" w:type="pct"/>
            <w:tcBorders>
              <w:top w:val="single" w:color="auto" w:sz="4" w:space="0"/>
              <w:left w:val="single" w:color="auto" w:sz="4" w:space="0"/>
              <w:bottom w:val="single" w:color="auto" w:sz="4" w:space="0"/>
              <w:right w:val="single" w:color="auto" w:sz="4" w:space="0"/>
            </w:tcBorders>
          </w:tcPr>
          <w:p w14:paraId="0EDFAA9B">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4B107439">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62CC3E9F">
            <w:pPr>
              <w:widowControl/>
              <w:jc w:val="left"/>
              <w:rPr>
                <w:rFonts w:ascii="Times New Roman" w:hAnsi="Times New Roman" w:eastAsia="Times New Roman"/>
                <w:kern w:val="0"/>
                <w:sz w:val="20"/>
                <w:szCs w:val="20"/>
              </w:rPr>
            </w:pPr>
          </w:p>
        </w:tc>
      </w:tr>
      <w:tr w14:paraId="5E46CD91">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2BFAE5C6">
            <w:pPr>
              <w:widowControl/>
              <w:jc w:val="center"/>
              <w:rPr>
                <w:rFonts w:ascii="宋体" w:hAnsi="宋体" w:cs="宋体"/>
                <w:kern w:val="0"/>
                <w:sz w:val="18"/>
                <w:szCs w:val="18"/>
              </w:rPr>
            </w:pPr>
            <w:r>
              <w:rPr>
                <w:rFonts w:hint="eastAsia" w:ascii="宋体" w:hAnsi="宋体" w:cs="宋体"/>
                <w:kern w:val="0"/>
                <w:sz w:val="18"/>
                <w:szCs w:val="18"/>
              </w:rPr>
              <w:t>4</w:t>
            </w:r>
          </w:p>
        </w:tc>
        <w:tc>
          <w:tcPr>
            <w:tcW w:w="1016" w:type="pct"/>
            <w:tcBorders>
              <w:top w:val="single" w:color="auto" w:sz="4" w:space="0"/>
              <w:left w:val="nil"/>
              <w:bottom w:val="single" w:color="auto" w:sz="4" w:space="0"/>
              <w:right w:val="single" w:color="auto" w:sz="4" w:space="0"/>
            </w:tcBorders>
            <w:vAlign w:val="center"/>
          </w:tcPr>
          <w:p w14:paraId="28DB6249">
            <w:pPr>
              <w:widowControl/>
              <w:jc w:val="left"/>
              <w:rPr>
                <w:rFonts w:ascii="宋体" w:hAnsi="宋体" w:cs="宋体"/>
                <w:kern w:val="0"/>
                <w:sz w:val="18"/>
                <w:szCs w:val="18"/>
              </w:rPr>
            </w:pPr>
            <w:r>
              <w:rPr>
                <w:rFonts w:hint="eastAsia" w:ascii="宋体" w:hAnsi="宋体" w:cs="宋体"/>
                <w:kern w:val="0"/>
                <w:sz w:val="18"/>
                <w:szCs w:val="18"/>
              </w:rPr>
              <w:t>指示灯</w:t>
            </w:r>
          </w:p>
        </w:tc>
        <w:tc>
          <w:tcPr>
            <w:tcW w:w="453" w:type="pct"/>
            <w:tcBorders>
              <w:top w:val="single" w:color="auto" w:sz="4" w:space="0"/>
              <w:left w:val="nil"/>
              <w:bottom w:val="single" w:color="auto" w:sz="4" w:space="0"/>
              <w:right w:val="single" w:color="auto" w:sz="4" w:space="0"/>
            </w:tcBorders>
            <w:noWrap/>
            <w:vAlign w:val="center"/>
          </w:tcPr>
          <w:p w14:paraId="3965878D">
            <w:pPr>
              <w:widowControl/>
              <w:jc w:val="center"/>
              <w:rPr>
                <w:rFonts w:ascii="宋体" w:hAnsi="宋体" w:cs="宋体"/>
                <w:kern w:val="0"/>
                <w:sz w:val="18"/>
                <w:szCs w:val="18"/>
              </w:rPr>
            </w:pPr>
            <w:r>
              <w:rPr>
                <w:rFonts w:hint="eastAsia" w:ascii="宋体" w:hAnsi="宋体" w:cs="宋体"/>
                <w:kern w:val="0"/>
                <w:sz w:val="18"/>
                <w:szCs w:val="18"/>
              </w:rPr>
              <w:t>盏</w:t>
            </w:r>
          </w:p>
        </w:tc>
        <w:tc>
          <w:tcPr>
            <w:tcW w:w="419" w:type="pct"/>
            <w:tcBorders>
              <w:top w:val="single" w:color="auto" w:sz="4" w:space="0"/>
              <w:left w:val="single" w:color="auto" w:sz="4" w:space="0"/>
              <w:bottom w:val="single" w:color="auto" w:sz="4" w:space="0"/>
              <w:right w:val="single" w:color="auto" w:sz="4" w:space="0"/>
            </w:tcBorders>
            <w:noWrap/>
            <w:vAlign w:val="center"/>
          </w:tcPr>
          <w:p w14:paraId="1FAEEA52">
            <w:pPr>
              <w:widowControl/>
              <w:jc w:val="center"/>
              <w:rPr>
                <w:rFonts w:ascii="宋体" w:hAnsi="宋体" w:cs="宋体"/>
                <w:kern w:val="0"/>
                <w:sz w:val="18"/>
                <w:szCs w:val="18"/>
              </w:rPr>
            </w:pPr>
            <w:r>
              <w:rPr>
                <w:rFonts w:hint="eastAsia" w:ascii="宋体" w:hAnsi="宋体" w:cs="宋体"/>
                <w:kern w:val="0"/>
                <w:sz w:val="18"/>
                <w:szCs w:val="18"/>
              </w:rPr>
              <w:t>20</w:t>
            </w:r>
          </w:p>
        </w:tc>
        <w:tc>
          <w:tcPr>
            <w:tcW w:w="669" w:type="pct"/>
            <w:tcBorders>
              <w:top w:val="single" w:color="auto" w:sz="4" w:space="0"/>
              <w:left w:val="single" w:color="auto" w:sz="4" w:space="0"/>
              <w:bottom w:val="single" w:color="auto" w:sz="4" w:space="0"/>
              <w:right w:val="single" w:color="auto" w:sz="4" w:space="0"/>
            </w:tcBorders>
          </w:tcPr>
          <w:p w14:paraId="2DDCA4D2">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4C5DEF34">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096AD8A6">
            <w:pPr>
              <w:widowControl/>
              <w:jc w:val="left"/>
              <w:rPr>
                <w:rFonts w:ascii="Times New Roman" w:hAnsi="Times New Roman" w:eastAsia="Times New Roman"/>
                <w:kern w:val="0"/>
                <w:sz w:val="20"/>
                <w:szCs w:val="20"/>
              </w:rPr>
            </w:pPr>
          </w:p>
        </w:tc>
      </w:tr>
      <w:tr w14:paraId="4A1A35E6">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4AF92476">
            <w:pPr>
              <w:widowControl/>
              <w:jc w:val="center"/>
              <w:rPr>
                <w:rFonts w:ascii="宋体" w:hAnsi="宋体" w:cs="宋体"/>
                <w:kern w:val="0"/>
                <w:sz w:val="18"/>
                <w:szCs w:val="18"/>
              </w:rPr>
            </w:pPr>
            <w:r>
              <w:rPr>
                <w:rFonts w:hint="eastAsia" w:ascii="宋体" w:hAnsi="宋体" w:cs="宋体"/>
                <w:kern w:val="0"/>
                <w:sz w:val="18"/>
                <w:szCs w:val="18"/>
              </w:rPr>
              <w:t>5</w:t>
            </w:r>
          </w:p>
        </w:tc>
        <w:tc>
          <w:tcPr>
            <w:tcW w:w="1016" w:type="pct"/>
            <w:tcBorders>
              <w:top w:val="single" w:color="auto" w:sz="4" w:space="0"/>
              <w:left w:val="nil"/>
              <w:bottom w:val="single" w:color="auto" w:sz="4" w:space="0"/>
              <w:right w:val="single" w:color="auto" w:sz="4" w:space="0"/>
            </w:tcBorders>
            <w:vAlign w:val="center"/>
          </w:tcPr>
          <w:p w14:paraId="4AEA2EF9">
            <w:pPr>
              <w:widowControl/>
              <w:jc w:val="left"/>
              <w:rPr>
                <w:rFonts w:ascii="宋体" w:hAnsi="宋体" w:cs="宋体"/>
                <w:kern w:val="0"/>
                <w:sz w:val="18"/>
                <w:szCs w:val="18"/>
              </w:rPr>
            </w:pPr>
            <w:r>
              <w:rPr>
                <w:rFonts w:hint="eastAsia" w:ascii="宋体" w:hAnsi="宋体" w:cs="宋体"/>
                <w:kern w:val="0"/>
                <w:sz w:val="18"/>
                <w:szCs w:val="18"/>
              </w:rPr>
              <w:t>电源线</w:t>
            </w:r>
          </w:p>
        </w:tc>
        <w:tc>
          <w:tcPr>
            <w:tcW w:w="453" w:type="pct"/>
            <w:tcBorders>
              <w:top w:val="single" w:color="auto" w:sz="4" w:space="0"/>
              <w:left w:val="nil"/>
              <w:bottom w:val="single" w:color="auto" w:sz="4" w:space="0"/>
              <w:right w:val="single" w:color="auto" w:sz="4" w:space="0"/>
            </w:tcBorders>
            <w:noWrap/>
            <w:vAlign w:val="center"/>
          </w:tcPr>
          <w:p w14:paraId="0342EFFD">
            <w:pPr>
              <w:widowControl/>
              <w:jc w:val="center"/>
              <w:rPr>
                <w:rFonts w:ascii="宋体" w:hAnsi="宋体" w:cs="宋体"/>
                <w:kern w:val="0"/>
                <w:sz w:val="18"/>
                <w:szCs w:val="18"/>
              </w:rPr>
            </w:pPr>
            <w:r>
              <w:rPr>
                <w:rFonts w:hint="eastAsia" w:ascii="宋体" w:hAnsi="宋体" w:cs="宋体"/>
                <w:kern w:val="0"/>
                <w:sz w:val="18"/>
                <w:szCs w:val="18"/>
              </w:rPr>
              <w:t>米</w:t>
            </w:r>
          </w:p>
        </w:tc>
        <w:tc>
          <w:tcPr>
            <w:tcW w:w="419" w:type="pct"/>
            <w:tcBorders>
              <w:top w:val="single" w:color="auto" w:sz="4" w:space="0"/>
              <w:left w:val="single" w:color="auto" w:sz="4" w:space="0"/>
              <w:bottom w:val="single" w:color="auto" w:sz="4" w:space="0"/>
              <w:right w:val="single" w:color="auto" w:sz="4" w:space="0"/>
            </w:tcBorders>
            <w:noWrap/>
            <w:vAlign w:val="center"/>
          </w:tcPr>
          <w:p w14:paraId="18962C80">
            <w:pPr>
              <w:widowControl/>
              <w:jc w:val="center"/>
              <w:rPr>
                <w:rFonts w:ascii="宋体" w:hAnsi="宋体" w:cs="宋体"/>
                <w:kern w:val="0"/>
                <w:sz w:val="18"/>
                <w:szCs w:val="18"/>
              </w:rPr>
            </w:pPr>
            <w:r>
              <w:rPr>
                <w:rFonts w:hint="eastAsia" w:ascii="宋体" w:hAnsi="宋体" w:cs="宋体"/>
                <w:kern w:val="0"/>
                <w:sz w:val="18"/>
                <w:szCs w:val="18"/>
              </w:rPr>
              <w:t>80</w:t>
            </w:r>
          </w:p>
        </w:tc>
        <w:tc>
          <w:tcPr>
            <w:tcW w:w="669" w:type="pct"/>
            <w:tcBorders>
              <w:top w:val="single" w:color="auto" w:sz="4" w:space="0"/>
              <w:left w:val="single" w:color="auto" w:sz="4" w:space="0"/>
              <w:bottom w:val="single" w:color="auto" w:sz="4" w:space="0"/>
              <w:right w:val="single" w:color="auto" w:sz="4" w:space="0"/>
            </w:tcBorders>
          </w:tcPr>
          <w:p w14:paraId="6B542F55">
            <w:pPr>
              <w:widowControl/>
              <w:jc w:val="left"/>
              <w:rPr>
                <w:rFonts w:ascii="Times New Roman" w:hAnsi="Times New Roman" w:eastAsia="等线"/>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4D1E3696">
            <w:pPr>
              <w:widowControl/>
              <w:jc w:val="left"/>
              <w:rPr>
                <w:rFonts w:ascii="Times New Roman" w:hAnsi="Times New Roman" w:eastAsia="等线"/>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154D5449">
            <w:pPr>
              <w:widowControl/>
              <w:jc w:val="left"/>
              <w:rPr>
                <w:rFonts w:ascii="Times New Roman" w:hAnsi="Times New Roman" w:eastAsia="等线"/>
                <w:kern w:val="0"/>
                <w:sz w:val="20"/>
                <w:szCs w:val="20"/>
              </w:rPr>
            </w:pPr>
          </w:p>
        </w:tc>
      </w:tr>
      <w:tr w14:paraId="5815866C">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0E9B6C74">
            <w:pPr>
              <w:widowControl/>
              <w:jc w:val="center"/>
              <w:rPr>
                <w:rFonts w:ascii="宋体" w:hAnsi="宋体" w:cs="宋体"/>
                <w:kern w:val="0"/>
                <w:sz w:val="18"/>
                <w:szCs w:val="18"/>
              </w:rPr>
            </w:pPr>
            <w:r>
              <w:rPr>
                <w:rFonts w:hint="eastAsia" w:ascii="宋体" w:hAnsi="宋体" w:cs="宋体"/>
                <w:kern w:val="0"/>
                <w:sz w:val="18"/>
                <w:szCs w:val="18"/>
              </w:rPr>
              <w:t>6</w:t>
            </w:r>
          </w:p>
        </w:tc>
        <w:tc>
          <w:tcPr>
            <w:tcW w:w="1016" w:type="pct"/>
            <w:tcBorders>
              <w:top w:val="single" w:color="auto" w:sz="4" w:space="0"/>
              <w:left w:val="nil"/>
              <w:bottom w:val="single" w:color="auto" w:sz="4" w:space="0"/>
              <w:right w:val="single" w:color="auto" w:sz="4" w:space="0"/>
            </w:tcBorders>
            <w:vAlign w:val="center"/>
          </w:tcPr>
          <w:p w14:paraId="69874F2C">
            <w:pPr>
              <w:widowControl/>
              <w:jc w:val="left"/>
              <w:rPr>
                <w:rFonts w:ascii="宋体" w:hAnsi="宋体" w:cs="宋体"/>
                <w:kern w:val="0"/>
                <w:sz w:val="18"/>
                <w:szCs w:val="18"/>
              </w:rPr>
            </w:pPr>
            <w:r>
              <w:rPr>
                <w:rFonts w:hint="eastAsia" w:ascii="宋体" w:hAnsi="宋体" w:cs="宋体"/>
                <w:kern w:val="0"/>
                <w:sz w:val="18"/>
                <w:szCs w:val="18"/>
              </w:rPr>
              <w:t>指示灯线路改造</w:t>
            </w:r>
          </w:p>
        </w:tc>
        <w:tc>
          <w:tcPr>
            <w:tcW w:w="453" w:type="pct"/>
            <w:tcBorders>
              <w:top w:val="single" w:color="auto" w:sz="4" w:space="0"/>
              <w:left w:val="nil"/>
              <w:bottom w:val="single" w:color="auto" w:sz="4" w:space="0"/>
              <w:right w:val="single" w:color="auto" w:sz="4" w:space="0"/>
            </w:tcBorders>
            <w:noWrap/>
            <w:vAlign w:val="center"/>
          </w:tcPr>
          <w:p w14:paraId="53A3A5D0">
            <w:pPr>
              <w:widowControl/>
              <w:jc w:val="center"/>
              <w:rPr>
                <w:rFonts w:ascii="宋体" w:hAnsi="宋体" w:cs="宋体"/>
                <w:kern w:val="0"/>
                <w:sz w:val="18"/>
                <w:szCs w:val="18"/>
              </w:rPr>
            </w:pPr>
            <w:r>
              <w:rPr>
                <w:rFonts w:hint="eastAsia" w:ascii="宋体" w:hAnsi="宋体" w:cs="宋体"/>
                <w:kern w:val="0"/>
                <w:sz w:val="18"/>
                <w:szCs w:val="18"/>
              </w:rPr>
              <w:t>项</w:t>
            </w:r>
          </w:p>
        </w:tc>
        <w:tc>
          <w:tcPr>
            <w:tcW w:w="419" w:type="pct"/>
            <w:tcBorders>
              <w:top w:val="single" w:color="auto" w:sz="4" w:space="0"/>
              <w:left w:val="single" w:color="auto" w:sz="4" w:space="0"/>
              <w:bottom w:val="single" w:color="auto" w:sz="4" w:space="0"/>
              <w:right w:val="single" w:color="auto" w:sz="4" w:space="0"/>
            </w:tcBorders>
            <w:noWrap/>
            <w:vAlign w:val="center"/>
          </w:tcPr>
          <w:p w14:paraId="1D008031">
            <w:pPr>
              <w:widowControl/>
              <w:jc w:val="center"/>
              <w:rPr>
                <w:rFonts w:ascii="宋体" w:hAnsi="宋体" w:cs="宋体"/>
                <w:kern w:val="0"/>
                <w:sz w:val="18"/>
                <w:szCs w:val="18"/>
              </w:rPr>
            </w:pPr>
            <w:r>
              <w:rPr>
                <w:rFonts w:hint="eastAsia" w:ascii="宋体" w:hAnsi="宋体" w:cs="宋体"/>
                <w:kern w:val="0"/>
                <w:sz w:val="18"/>
                <w:szCs w:val="18"/>
              </w:rPr>
              <w:t>1</w:t>
            </w:r>
          </w:p>
        </w:tc>
        <w:tc>
          <w:tcPr>
            <w:tcW w:w="669" w:type="pct"/>
            <w:tcBorders>
              <w:top w:val="single" w:color="auto" w:sz="4" w:space="0"/>
              <w:left w:val="single" w:color="auto" w:sz="4" w:space="0"/>
              <w:bottom w:val="single" w:color="auto" w:sz="4" w:space="0"/>
              <w:right w:val="single" w:color="auto" w:sz="4" w:space="0"/>
            </w:tcBorders>
          </w:tcPr>
          <w:p w14:paraId="05F3AD40">
            <w:pPr>
              <w:widowControl/>
              <w:jc w:val="left"/>
              <w:rPr>
                <w:rFonts w:ascii="Times New Roman" w:hAnsi="Times New Roman" w:eastAsia="等线"/>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53CEF661">
            <w:pPr>
              <w:widowControl/>
              <w:jc w:val="left"/>
              <w:rPr>
                <w:rFonts w:ascii="Times New Roman" w:hAnsi="Times New Roman" w:eastAsia="等线"/>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377560DD">
            <w:pPr>
              <w:widowControl/>
              <w:jc w:val="left"/>
              <w:rPr>
                <w:rFonts w:ascii="Times New Roman" w:hAnsi="Times New Roman" w:eastAsia="等线"/>
                <w:kern w:val="0"/>
                <w:sz w:val="20"/>
                <w:szCs w:val="20"/>
              </w:rPr>
            </w:pPr>
          </w:p>
        </w:tc>
      </w:tr>
      <w:tr w14:paraId="46B8700C">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3AC2E9CF">
            <w:pPr>
              <w:widowControl/>
              <w:jc w:val="center"/>
              <w:rPr>
                <w:rFonts w:ascii="宋体" w:hAnsi="宋体" w:cs="宋体"/>
                <w:kern w:val="0"/>
                <w:sz w:val="18"/>
                <w:szCs w:val="18"/>
              </w:rPr>
            </w:pPr>
            <w:r>
              <w:rPr>
                <w:rFonts w:hint="eastAsia" w:ascii="宋体" w:hAnsi="宋体" w:cs="宋体"/>
                <w:kern w:val="0"/>
                <w:sz w:val="18"/>
                <w:szCs w:val="18"/>
              </w:rPr>
              <w:t>7</w:t>
            </w:r>
          </w:p>
        </w:tc>
        <w:tc>
          <w:tcPr>
            <w:tcW w:w="1016" w:type="pct"/>
            <w:tcBorders>
              <w:top w:val="single" w:color="auto" w:sz="4" w:space="0"/>
              <w:left w:val="nil"/>
              <w:bottom w:val="single" w:color="auto" w:sz="4" w:space="0"/>
              <w:right w:val="single" w:color="auto" w:sz="4" w:space="0"/>
            </w:tcBorders>
            <w:vAlign w:val="center"/>
          </w:tcPr>
          <w:p w14:paraId="57459D46">
            <w:pPr>
              <w:widowControl/>
              <w:jc w:val="left"/>
              <w:rPr>
                <w:rFonts w:ascii="宋体" w:hAnsi="宋体" w:cs="宋体"/>
                <w:kern w:val="0"/>
                <w:sz w:val="18"/>
                <w:szCs w:val="18"/>
              </w:rPr>
            </w:pPr>
            <w:r>
              <w:rPr>
                <w:rFonts w:hint="eastAsia" w:ascii="宋体" w:hAnsi="宋体" w:cs="宋体"/>
                <w:kern w:val="0"/>
                <w:sz w:val="18"/>
                <w:szCs w:val="18"/>
              </w:rPr>
              <w:t>消防沙桶</w:t>
            </w:r>
          </w:p>
        </w:tc>
        <w:tc>
          <w:tcPr>
            <w:tcW w:w="453" w:type="pct"/>
            <w:tcBorders>
              <w:top w:val="single" w:color="auto" w:sz="4" w:space="0"/>
              <w:left w:val="nil"/>
              <w:bottom w:val="single" w:color="auto" w:sz="4" w:space="0"/>
              <w:right w:val="single" w:color="auto" w:sz="4" w:space="0"/>
            </w:tcBorders>
            <w:noWrap/>
            <w:vAlign w:val="center"/>
          </w:tcPr>
          <w:p w14:paraId="55B5BF27">
            <w:pPr>
              <w:widowControl/>
              <w:jc w:val="center"/>
              <w:rPr>
                <w:rFonts w:ascii="宋体" w:hAnsi="宋体" w:cs="宋体"/>
                <w:kern w:val="0"/>
                <w:sz w:val="18"/>
                <w:szCs w:val="18"/>
              </w:rPr>
            </w:pPr>
            <w:r>
              <w:rPr>
                <w:rFonts w:hint="eastAsia" w:ascii="宋体" w:hAnsi="宋体" w:cs="宋体"/>
                <w:kern w:val="0"/>
                <w:sz w:val="18"/>
                <w:szCs w:val="18"/>
              </w:rPr>
              <w:t>个</w:t>
            </w:r>
          </w:p>
        </w:tc>
        <w:tc>
          <w:tcPr>
            <w:tcW w:w="419" w:type="pct"/>
            <w:tcBorders>
              <w:top w:val="single" w:color="auto" w:sz="4" w:space="0"/>
              <w:left w:val="single" w:color="auto" w:sz="4" w:space="0"/>
              <w:bottom w:val="single" w:color="auto" w:sz="4" w:space="0"/>
              <w:right w:val="single" w:color="auto" w:sz="4" w:space="0"/>
            </w:tcBorders>
            <w:noWrap/>
            <w:vAlign w:val="center"/>
          </w:tcPr>
          <w:p w14:paraId="549D079B">
            <w:pPr>
              <w:widowControl/>
              <w:jc w:val="center"/>
              <w:rPr>
                <w:rFonts w:ascii="宋体" w:hAnsi="宋体" w:cs="宋体"/>
                <w:kern w:val="0"/>
                <w:sz w:val="18"/>
                <w:szCs w:val="18"/>
              </w:rPr>
            </w:pPr>
            <w:r>
              <w:rPr>
                <w:rFonts w:hint="eastAsia" w:ascii="宋体" w:hAnsi="宋体" w:cs="宋体"/>
                <w:kern w:val="0"/>
                <w:sz w:val="18"/>
                <w:szCs w:val="18"/>
              </w:rPr>
              <w:t>5</w:t>
            </w:r>
          </w:p>
        </w:tc>
        <w:tc>
          <w:tcPr>
            <w:tcW w:w="669" w:type="pct"/>
            <w:tcBorders>
              <w:top w:val="single" w:color="auto" w:sz="4" w:space="0"/>
              <w:left w:val="single" w:color="auto" w:sz="4" w:space="0"/>
              <w:bottom w:val="single" w:color="auto" w:sz="4" w:space="0"/>
              <w:right w:val="single" w:color="auto" w:sz="4" w:space="0"/>
            </w:tcBorders>
          </w:tcPr>
          <w:p w14:paraId="1DD4060C">
            <w:pPr>
              <w:widowControl/>
              <w:jc w:val="left"/>
              <w:rPr>
                <w:rFonts w:ascii="Times New Roman" w:hAnsi="Times New Roman" w:eastAsia="等线"/>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469A9D66">
            <w:pPr>
              <w:widowControl/>
              <w:jc w:val="left"/>
              <w:rPr>
                <w:rFonts w:ascii="Times New Roman" w:hAnsi="Times New Roman" w:eastAsia="等线"/>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6805491C">
            <w:pPr>
              <w:widowControl/>
              <w:jc w:val="left"/>
              <w:rPr>
                <w:rFonts w:ascii="Times New Roman" w:hAnsi="Times New Roman" w:eastAsia="等线"/>
                <w:kern w:val="0"/>
                <w:sz w:val="20"/>
                <w:szCs w:val="20"/>
              </w:rPr>
            </w:pPr>
          </w:p>
        </w:tc>
      </w:tr>
      <w:tr w14:paraId="1DDE4579">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5402F5F6">
            <w:pPr>
              <w:widowControl/>
              <w:jc w:val="center"/>
              <w:rPr>
                <w:rFonts w:ascii="宋体" w:hAnsi="宋体" w:cs="宋体"/>
                <w:kern w:val="0"/>
                <w:sz w:val="18"/>
                <w:szCs w:val="18"/>
              </w:rPr>
            </w:pPr>
            <w:r>
              <w:rPr>
                <w:rFonts w:hint="eastAsia" w:ascii="宋体" w:hAnsi="宋体" w:cs="宋体"/>
                <w:kern w:val="0"/>
                <w:sz w:val="18"/>
                <w:szCs w:val="18"/>
              </w:rPr>
              <w:t>四</w:t>
            </w:r>
          </w:p>
        </w:tc>
        <w:tc>
          <w:tcPr>
            <w:tcW w:w="1016" w:type="pct"/>
            <w:tcBorders>
              <w:top w:val="single" w:color="auto" w:sz="4" w:space="0"/>
              <w:left w:val="nil"/>
              <w:bottom w:val="single" w:color="auto" w:sz="4" w:space="0"/>
              <w:right w:val="single" w:color="auto" w:sz="4" w:space="0"/>
            </w:tcBorders>
            <w:vAlign w:val="center"/>
          </w:tcPr>
          <w:p w14:paraId="0CE407F7">
            <w:pPr>
              <w:widowControl/>
              <w:jc w:val="left"/>
              <w:rPr>
                <w:rFonts w:ascii="宋体" w:hAnsi="宋体" w:cs="宋体"/>
                <w:kern w:val="0"/>
                <w:sz w:val="18"/>
                <w:szCs w:val="18"/>
              </w:rPr>
            </w:pPr>
            <w:r>
              <w:rPr>
                <w:rFonts w:hint="eastAsia" w:ascii="宋体" w:hAnsi="宋体" w:cs="宋体"/>
                <w:kern w:val="0"/>
                <w:sz w:val="18"/>
                <w:szCs w:val="18"/>
              </w:rPr>
              <w:t>预留金</w:t>
            </w:r>
          </w:p>
        </w:tc>
        <w:tc>
          <w:tcPr>
            <w:tcW w:w="453" w:type="pct"/>
            <w:tcBorders>
              <w:top w:val="single" w:color="auto" w:sz="4" w:space="0"/>
              <w:left w:val="nil"/>
              <w:bottom w:val="single" w:color="auto" w:sz="4" w:space="0"/>
              <w:right w:val="single" w:color="auto" w:sz="4" w:space="0"/>
            </w:tcBorders>
            <w:noWrap/>
            <w:vAlign w:val="center"/>
          </w:tcPr>
          <w:p w14:paraId="456EB084">
            <w:pPr>
              <w:widowControl/>
              <w:jc w:val="center"/>
              <w:rPr>
                <w:rFonts w:ascii="宋体" w:hAnsi="宋体" w:cs="宋体"/>
                <w:kern w:val="0"/>
                <w:sz w:val="18"/>
                <w:szCs w:val="18"/>
              </w:rPr>
            </w:pPr>
            <w:r>
              <w:rPr>
                <w:rFonts w:hint="eastAsia" w:ascii="宋体" w:hAnsi="宋体" w:cs="宋体"/>
                <w:kern w:val="0"/>
                <w:sz w:val="18"/>
                <w:szCs w:val="18"/>
              </w:rPr>
              <w:t>项</w:t>
            </w:r>
          </w:p>
        </w:tc>
        <w:tc>
          <w:tcPr>
            <w:tcW w:w="419" w:type="pct"/>
            <w:tcBorders>
              <w:top w:val="single" w:color="auto" w:sz="4" w:space="0"/>
              <w:left w:val="single" w:color="auto" w:sz="4" w:space="0"/>
              <w:bottom w:val="single" w:color="auto" w:sz="4" w:space="0"/>
              <w:right w:val="single" w:color="auto" w:sz="4" w:space="0"/>
            </w:tcBorders>
            <w:noWrap/>
            <w:vAlign w:val="center"/>
          </w:tcPr>
          <w:p w14:paraId="2337EDDE">
            <w:pPr>
              <w:widowControl/>
              <w:jc w:val="center"/>
              <w:rPr>
                <w:rFonts w:ascii="宋体" w:hAnsi="宋体" w:cs="宋体"/>
                <w:kern w:val="0"/>
                <w:sz w:val="18"/>
                <w:szCs w:val="18"/>
              </w:rPr>
            </w:pPr>
            <w:r>
              <w:rPr>
                <w:rFonts w:hint="eastAsia" w:ascii="宋体" w:hAnsi="宋体" w:cs="宋体"/>
                <w:kern w:val="0"/>
                <w:sz w:val="18"/>
                <w:szCs w:val="18"/>
              </w:rPr>
              <w:t>1</w:t>
            </w:r>
          </w:p>
        </w:tc>
        <w:tc>
          <w:tcPr>
            <w:tcW w:w="669" w:type="pct"/>
            <w:tcBorders>
              <w:top w:val="single" w:color="auto" w:sz="4" w:space="0"/>
              <w:left w:val="single" w:color="auto" w:sz="4" w:space="0"/>
              <w:bottom w:val="single" w:color="auto" w:sz="4" w:space="0"/>
              <w:right w:val="single" w:color="auto" w:sz="4" w:space="0"/>
            </w:tcBorders>
          </w:tcPr>
          <w:p w14:paraId="05743C89">
            <w:pPr>
              <w:widowControl/>
              <w:jc w:val="left"/>
              <w:rPr>
                <w:rFonts w:ascii="Times New Roman" w:hAnsi="Times New Roman" w:eastAsia="等线"/>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430D06CE">
            <w:pPr>
              <w:widowControl/>
              <w:jc w:val="left"/>
              <w:rPr>
                <w:rFonts w:ascii="Times New Roman" w:hAnsi="Times New Roman" w:eastAsia="等线"/>
                <w:kern w:val="0"/>
                <w:sz w:val="20"/>
                <w:szCs w:val="20"/>
              </w:rPr>
            </w:pPr>
            <w:r>
              <w:rPr>
                <w:rFonts w:ascii="Times New Roman" w:hAnsi="Times New Roman" w:eastAsia="等线"/>
                <w:kern w:val="0"/>
                <w:sz w:val="20"/>
                <w:szCs w:val="20"/>
              </w:rPr>
              <w:t>9000</w:t>
            </w:r>
            <w:r>
              <w:rPr>
                <w:rFonts w:hint="eastAsia" w:ascii="Times New Roman" w:hAnsi="Times New Roman" w:eastAsia="等线"/>
                <w:kern w:val="0"/>
                <w:sz w:val="20"/>
                <w:szCs w:val="20"/>
              </w:rPr>
              <w:t>（按测算费用的</w:t>
            </w:r>
            <w:r>
              <w:rPr>
                <w:rFonts w:ascii="Times New Roman" w:hAnsi="Times New Roman" w:eastAsia="等线"/>
                <w:kern w:val="0"/>
                <w:sz w:val="20"/>
                <w:szCs w:val="20"/>
              </w:rPr>
              <w:t>10%</w:t>
            </w:r>
            <w:r>
              <w:rPr>
                <w:rFonts w:hint="eastAsia" w:ascii="Times New Roman" w:hAnsi="Times New Roman" w:eastAsia="等线"/>
                <w:kern w:val="0"/>
                <w:sz w:val="20"/>
                <w:szCs w:val="20"/>
              </w:rPr>
              <w:t>作为预留金）</w:t>
            </w:r>
          </w:p>
        </w:tc>
        <w:tc>
          <w:tcPr>
            <w:tcW w:w="1027" w:type="pct"/>
            <w:tcBorders>
              <w:top w:val="single" w:color="auto" w:sz="4" w:space="0"/>
              <w:left w:val="single" w:color="auto" w:sz="4" w:space="0"/>
              <w:bottom w:val="single" w:color="auto" w:sz="4" w:space="0"/>
              <w:right w:val="single" w:color="auto" w:sz="4" w:space="0"/>
            </w:tcBorders>
          </w:tcPr>
          <w:p w14:paraId="781B682E">
            <w:pPr>
              <w:widowControl/>
              <w:jc w:val="left"/>
              <w:rPr>
                <w:rFonts w:ascii="Times New Roman" w:hAnsi="Times New Roman" w:eastAsia="等线"/>
                <w:kern w:val="0"/>
                <w:sz w:val="20"/>
                <w:szCs w:val="20"/>
              </w:rPr>
            </w:pPr>
            <w:r>
              <w:rPr>
                <w:rFonts w:ascii="Times New Roman" w:hAnsi="Times New Roman" w:eastAsia="等线"/>
                <w:kern w:val="0"/>
                <w:sz w:val="20"/>
                <w:szCs w:val="20"/>
              </w:rPr>
              <w:t>9000</w:t>
            </w:r>
          </w:p>
        </w:tc>
      </w:tr>
      <w:tr w14:paraId="36FF3986">
        <w:tblPrEx>
          <w:tblCellMar>
            <w:top w:w="0" w:type="dxa"/>
            <w:left w:w="108" w:type="dxa"/>
            <w:bottom w:w="0" w:type="dxa"/>
            <w:right w:w="108" w:type="dxa"/>
          </w:tblCellMar>
        </w:tblPrEx>
        <w:trPr>
          <w:trHeight w:val="345" w:hRule="atLeast"/>
        </w:trPr>
        <w:tc>
          <w:tcPr>
            <w:tcW w:w="750" w:type="pct"/>
            <w:tcBorders>
              <w:top w:val="single" w:color="auto" w:sz="4" w:space="0"/>
              <w:left w:val="single" w:color="auto" w:sz="4" w:space="0"/>
              <w:bottom w:val="single" w:color="auto" w:sz="4" w:space="0"/>
              <w:right w:val="single" w:color="auto" w:sz="4" w:space="0"/>
            </w:tcBorders>
            <w:noWrap/>
            <w:vAlign w:val="center"/>
          </w:tcPr>
          <w:p w14:paraId="3AEDEAE4">
            <w:pPr>
              <w:widowControl/>
              <w:jc w:val="center"/>
              <w:rPr>
                <w:rFonts w:ascii="宋体" w:hAnsi="宋体" w:cs="宋体"/>
                <w:kern w:val="0"/>
                <w:sz w:val="18"/>
                <w:szCs w:val="18"/>
              </w:rPr>
            </w:pPr>
            <w:r>
              <w:rPr>
                <w:rFonts w:hint="eastAsia" w:ascii="宋体" w:hAnsi="宋体" w:cs="宋体"/>
                <w:kern w:val="0"/>
                <w:sz w:val="18"/>
                <w:szCs w:val="18"/>
              </w:rPr>
              <w:t>合计</w:t>
            </w:r>
          </w:p>
        </w:tc>
        <w:tc>
          <w:tcPr>
            <w:tcW w:w="1016" w:type="pct"/>
            <w:tcBorders>
              <w:top w:val="single" w:color="auto" w:sz="4" w:space="0"/>
              <w:left w:val="nil"/>
              <w:bottom w:val="single" w:color="auto" w:sz="4" w:space="0"/>
              <w:right w:val="single" w:color="auto" w:sz="4" w:space="0"/>
            </w:tcBorders>
            <w:vAlign w:val="center"/>
          </w:tcPr>
          <w:p w14:paraId="5612CB48">
            <w:pPr>
              <w:widowControl/>
              <w:jc w:val="left"/>
              <w:rPr>
                <w:rFonts w:ascii="宋体" w:hAnsi="宋体" w:cs="宋体"/>
                <w:kern w:val="0"/>
                <w:sz w:val="18"/>
                <w:szCs w:val="18"/>
              </w:rPr>
            </w:pPr>
          </w:p>
        </w:tc>
        <w:tc>
          <w:tcPr>
            <w:tcW w:w="453" w:type="pct"/>
            <w:tcBorders>
              <w:top w:val="single" w:color="auto" w:sz="4" w:space="0"/>
              <w:left w:val="nil"/>
              <w:bottom w:val="single" w:color="auto" w:sz="4" w:space="0"/>
              <w:right w:val="single" w:color="auto" w:sz="4" w:space="0"/>
            </w:tcBorders>
            <w:noWrap/>
            <w:vAlign w:val="center"/>
          </w:tcPr>
          <w:p w14:paraId="457EDDBC">
            <w:pPr>
              <w:widowControl/>
              <w:jc w:val="center"/>
              <w:rPr>
                <w:rFonts w:ascii="宋体" w:hAnsi="宋体" w:cs="宋体"/>
                <w:kern w:val="0"/>
                <w:sz w:val="18"/>
                <w:szCs w:val="18"/>
              </w:rPr>
            </w:pPr>
          </w:p>
        </w:tc>
        <w:tc>
          <w:tcPr>
            <w:tcW w:w="419" w:type="pct"/>
            <w:tcBorders>
              <w:top w:val="single" w:color="auto" w:sz="4" w:space="0"/>
              <w:left w:val="single" w:color="auto" w:sz="4" w:space="0"/>
              <w:bottom w:val="single" w:color="auto" w:sz="4" w:space="0"/>
              <w:right w:val="single" w:color="auto" w:sz="4" w:space="0"/>
            </w:tcBorders>
            <w:noWrap/>
            <w:vAlign w:val="center"/>
          </w:tcPr>
          <w:p w14:paraId="550086B2">
            <w:pPr>
              <w:widowControl/>
              <w:jc w:val="center"/>
              <w:rPr>
                <w:rFonts w:ascii="宋体" w:hAnsi="宋体" w:cs="宋体"/>
                <w:kern w:val="0"/>
                <w:sz w:val="18"/>
                <w:szCs w:val="18"/>
              </w:rPr>
            </w:pPr>
          </w:p>
        </w:tc>
        <w:tc>
          <w:tcPr>
            <w:tcW w:w="669" w:type="pct"/>
            <w:tcBorders>
              <w:top w:val="single" w:color="auto" w:sz="4" w:space="0"/>
              <w:left w:val="single" w:color="auto" w:sz="4" w:space="0"/>
              <w:bottom w:val="single" w:color="auto" w:sz="4" w:space="0"/>
              <w:right w:val="single" w:color="auto" w:sz="4" w:space="0"/>
            </w:tcBorders>
          </w:tcPr>
          <w:p w14:paraId="3BB0BA70">
            <w:pPr>
              <w:widowControl/>
              <w:jc w:val="left"/>
              <w:rPr>
                <w:rFonts w:ascii="Times New Roman" w:hAnsi="Times New Roman" w:eastAsia="Times New Roman"/>
                <w:kern w:val="0"/>
                <w:sz w:val="20"/>
                <w:szCs w:val="20"/>
              </w:rPr>
            </w:pPr>
          </w:p>
        </w:tc>
        <w:tc>
          <w:tcPr>
            <w:tcW w:w="666" w:type="pct"/>
            <w:tcBorders>
              <w:top w:val="single" w:color="auto" w:sz="4" w:space="0"/>
              <w:left w:val="single" w:color="auto" w:sz="4" w:space="0"/>
              <w:bottom w:val="single" w:color="auto" w:sz="4" w:space="0"/>
              <w:right w:val="single" w:color="auto" w:sz="4" w:space="0"/>
            </w:tcBorders>
          </w:tcPr>
          <w:p w14:paraId="41609F6E">
            <w:pPr>
              <w:widowControl/>
              <w:jc w:val="left"/>
              <w:rPr>
                <w:rFonts w:ascii="Times New Roman" w:hAnsi="Times New Roman" w:eastAsia="Times New Roman"/>
                <w:kern w:val="0"/>
                <w:sz w:val="20"/>
                <w:szCs w:val="20"/>
              </w:rPr>
            </w:pPr>
          </w:p>
        </w:tc>
        <w:tc>
          <w:tcPr>
            <w:tcW w:w="1027" w:type="pct"/>
            <w:tcBorders>
              <w:top w:val="single" w:color="auto" w:sz="4" w:space="0"/>
              <w:left w:val="single" w:color="auto" w:sz="4" w:space="0"/>
              <w:bottom w:val="single" w:color="auto" w:sz="4" w:space="0"/>
              <w:right w:val="single" w:color="auto" w:sz="4" w:space="0"/>
            </w:tcBorders>
          </w:tcPr>
          <w:p w14:paraId="3779BC3F">
            <w:pPr>
              <w:widowControl/>
              <w:jc w:val="left"/>
              <w:rPr>
                <w:rFonts w:ascii="Times New Roman" w:hAnsi="Times New Roman" w:eastAsia="Times New Roman"/>
                <w:kern w:val="0"/>
                <w:sz w:val="20"/>
                <w:szCs w:val="20"/>
              </w:rPr>
            </w:pPr>
          </w:p>
        </w:tc>
      </w:tr>
    </w:tbl>
    <w:p w14:paraId="16330F0E">
      <w:pPr>
        <w:pStyle w:val="12"/>
        <w:ind w:left="0" w:leftChars="0" w:firstLine="0" w:firstLineChars="0"/>
        <w:rPr>
          <w:rFonts w:ascii="仿宋_GB2312" w:eastAsia="仿宋_GB2312"/>
          <w:sz w:val="24"/>
        </w:rPr>
      </w:pPr>
      <w:r>
        <w:rPr>
          <w:rFonts w:hint="eastAsia" w:ascii="仿宋_GB2312" w:eastAsia="仿宋_GB2312"/>
          <w:sz w:val="24"/>
        </w:rPr>
        <w:t>清单说明：</w:t>
      </w:r>
    </w:p>
    <w:p w14:paraId="086CA18F">
      <w:pPr>
        <w:pStyle w:val="12"/>
        <w:ind w:left="0" w:leftChars="0" w:firstLine="0" w:firstLineChars="0"/>
        <w:rPr>
          <w:rFonts w:ascii="仿宋_GB2312" w:eastAsia="仿宋_GB2312"/>
          <w:sz w:val="24"/>
        </w:rPr>
      </w:pPr>
      <w:r>
        <w:rPr>
          <w:rFonts w:hint="eastAsia" w:ascii="仿宋_GB2312" w:eastAsia="仿宋_GB2312"/>
          <w:sz w:val="24"/>
        </w:rPr>
        <w:t>1.以上表格由乙方按上述表格报价，并维修安装。</w:t>
      </w:r>
    </w:p>
    <w:p w14:paraId="03E66CDB">
      <w:pPr>
        <w:pStyle w:val="12"/>
        <w:ind w:left="0" w:leftChars="0" w:firstLine="0" w:firstLineChars="0"/>
        <w:rPr>
          <w:rFonts w:ascii="仿宋_GB2312" w:eastAsia="仿宋_GB2312"/>
          <w:sz w:val="24"/>
        </w:rPr>
      </w:pPr>
      <w:r>
        <w:rPr>
          <w:rFonts w:hint="eastAsia" w:ascii="仿宋_GB2312" w:eastAsia="仿宋_GB2312"/>
          <w:sz w:val="24"/>
        </w:rPr>
        <w:t>2.含税价包含但不限于生产成本、包装、仓储、运输、装卸、拆除、安装、调试、保险、税费及售后服务等发生的所有费用。</w:t>
      </w:r>
    </w:p>
    <w:p w14:paraId="4244FF2E">
      <w:pPr>
        <w:pStyle w:val="12"/>
        <w:ind w:left="0" w:leftChars="0" w:firstLine="0" w:firstLineChars="0"/>
        <w:rPr>
          <w:rFonts w:ascii="仿宋_GB2312" w:eastAsia="仿宋_GB2312"/>
          <w:sz w:val="24"/>
        </w:rPr>
      </w:pPr>
      <w:r>
        <w:rPr>
          <w:rFonts w:hint="eastAsia" w:ascii="仿宋_GB2312" w:eastAsia="仿宋_GB2312"/>
          <w:sz w:val="24"/>
        </w:rPr>
        <w:t>3.清单以外发生的开支需甲方现场审核确认后，从预留金支出。</w:t>
      </w:r>
    </w:p>
    <w:p w14:paraId="5E21730F"/>
    <w:p w14:paraId="470F8DF0">
      <w:r>
        <w:br w:type="page"/>
      </w:r>
      <w:r>
        <w:rPr>
          <w:rFonts w:hint="eastAsia"/>
        </w:rPr>
        <w:t>附件5</w:t>
      </w:r>
    </w:p>
    <w:p w14:paraId="74A5CD96">
      <w:r>
        <w:rPr>
          <w:rFonts w:hint="eastAsia"/>
        </w:rPr>
        <w:t>《广州市公安消防局建筑工程消防设计审核意见书》（穗公消（建）审[2000]第0240号）</w:t>
      </w:r>
    </w:p>
    <w:p w14:paraId="1DF05659">
      <w:r>
        <w:pict>
          <v:shape id="_x0000_i1025" o:spt="75" type="#_x0000_t75" style="height:654pt;width:415.5pt;" filled="f" o:preferrelative="t" stroked="f" coordsize="21600,21600">
            <v:path/>
            <v:fill on="f" focussize="0,0"/>
            <v:stroke on="f" joinstyle="miter"/>
            <v:imagedata r:id="rId16" o:title="1c7c7ecd54b48fd709ad00051650f11"/>
            <o:lock v:ext="edit" aspectratio="t"/>
            <w10:wrap type="none"/>
            <w10:anchorlock/>
          </v:shape>
        </w:pict>
      </w:r>
    </w:p>
    <w:p w14:paraId="16FE1D6C">
      <w:r>
        <w:pict>
          <v:shape id="_x0000_i1026" o:spt="75" type="#_x0000_t75" style="height:557.25pt;width:418.5pt;" filled="f" o:preferrelative="t" stroked="f" coordsize="21600,21600">
            <v:path/>
            <v:fill on="f" focussize="0,0"/>
            <v:stroke on="f" joinstyle="miter"/>
            <v:imagedata r:id="rId17" o:title="e9d11c241cfc141e93f676b3d35e749"/>
            <o:lock v:ext="edit" aspectratio="t"/>
            <w10:wrap type="none"/>
            <w10:anchorlock/>
          </v:shape>
        </w:pict>
      </w:r>
    </w:p>
    <w:p w14:paraId="5715D545"/>
    <w:p w14:paraId="6719DECC">
      <w:r>
        <w:br w:type="page"/>
      </w:r>
      <w:r>
        <w:rPr>
          <w:rFonts w:hint="eastAsia"/>
        </w:rPr>
        <w:t>附件6：</w:t>
      </w:r>
    </w:p>
    <w:p w14:paraId="7B35E026">
      <w:r>
        <w:rPr>
          <w:rFonts w:hint="eastAsia"/>
        </w:rPr>
        <w:t>《广州市公安消防局建筑工程消防验收意见书》（穗公消（建）验[2001]第381号）</w:t>
      </w:r>
    </w:p>
    <w:p w14:paraId="436C40E3">
      <w:r>
        <w:pict>
          <v:shape id="_x0000_i1027" o:spt="75" type="#_x0000_t75" style="height:533.25pt;width:399.75pt;" filled="f" o:preferrelative="t" stroked="f" coordsize="21600,21600">
            <v:path/>
            <v:fill on="f" focussize="0,0"/>
            <v:stroke on="f" joinstyle="miter"/>
            <v:imagedata r:id="rId18" o:title="c5c076b81d7016af5b013cb4a7c1223"/>
            <o:lock v:ext="edit" aspectratio="t"/>
            <w10:wrap type="none"/>
            <w10:anchorlock/>
          </v:shape>
        </w:pict>
      </w:r>
    </w:p>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A7F4D">
    <w:pPr>
      <w:pStyle w:val="9"/>
      <w:jc w:val="center"/>
    </w:pPr>
    <w:r>
      <w:fldChar w:fldCharType="begin"/>
    </w:r>
    <w:r>
      <w:instrText xml:space="preserve">PAGE   \* MERGEFORMAT</w:instrText>
    </w:r>
    <w:r>
      <w:fldChar w:fldCharType="separate"/>
    </w:r>
    <w:r>
      <w:rPr>
        <w:lang w:val="zh-CN"/>
      </w:rPr>
      <w:t>2</w:t>
    </w:r>
    <w:r>
      <w:fldChar w:fldCharType="end"/>
    </w:r>
  </w:p>
  <w:p w14:paraId="405CBB36">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0C3B0">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14CC2">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20931">
    <w:pPr>
      <w:pStyle w:val="9"/>
      <w:jc w:val="center"/>
    </w:pPr>
    <w:r>
      <w:fldChar w:fldCharType="begin"/>
    </w:r>
    <w:r>
      <w:instrText xml:space="preserve">PAGE   \* MERGEFORMAT</w:instrText>
    </w:r>
    <w:r>
      <w:fldChar w:fldCharType="separate"/>
    </w:r>
    <w:r>
      <w:rPr>
        <w:lang w:val="zh-CN"/>
      </w:rPr>
      <w:t>2</w:t>
    </w:r>
    <w:r>
      <w:fldChar w:fldCharType="end"/>
    </w:r>
  </w:p>
  <w:p w14:paraId="35A6C74D">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1EB83">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DDA2C">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4E766">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A5765">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DF031">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96D29">
    <w:pPr>
      <w:pStyle w:val="10"/>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91807">
    <w:pPr>
      <w:pStyle w:val="1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97282">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doNotTrackMoves/>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gwNzhiYWIxNTAwMWE4NjUyZTI3ZGQ4M2E4ODhhYTYifQ=="/>
    <w:docVar w:name="KSO_WPS_MARK_KEY" w:val="a01c74fe-a8b3-4037-be94-1e07696bdc62"/>
  </w:docVars>
  <w:rsids>
    <w:rsidRoot w:val="00172A27"/>
    <w:rsid w:val="00052804"/>
    <w:rsid w:val="00143ECD"/>
    <w:rsid w:val="00172A27"/>
    <w:rsid w:val="001A0F1B"/>
    <w:rsid w:val="00322674"/>
    <w:rsid w:val="00412BED"/>
    <w:rsid w:val="004614A0"/>
    <w:rsid w:val="00625D22"/>
    <w:rsid w:val="00657557"/>
    <w:rsid w:val="007501B0"/>
    <w:rsid w:val="007F1286"/>
    <w:rsid w:val="00935BE9"/>
    <w:rsid w:val="0097017A"/>
    <w:rsid w:val="00CE0608"/>
    <w:rsid w:val="00CE4C41"/>
    <w:rsid w:val="00E60EE6"/>
    <w:rsid w:val="00F04C0A"/>
    <w:rsid w:val="01734584"/>
    <w:rsid w:val="0482778D"/>
    <w:rsid w:val="0A266833"/>
    <w:rsid w:val="0E367474"/>
    <w:rsid w:val="0EF75FAA"/>
    <w:rsid w:val="0F907D05"/>
    <w:rsid w:val="10C56A04"/>
    <w:rsid w:val="114D4BC9"/>
    <w:rsid w:val="11C16DD4"/>
    <w:rsid w:val="14BD76EA"/>
    <w:rsid w:val="151A0E65"/>
    <w:rsid w:val="1A912A0E"/>
    <w:rsid w:val="1AEC4831"/>
    <w:rsid w:val="224A0A33"/>
    <w:rsid w:val="23FE05A4"/>
    <w:rsid w:val="286871AB"/>
    <w:rsid w:val="2B2E264F"/>
    <w:rsid w:val="2DF36F37"/>
    <w:rsid w:val="359835B0"/>
    <w:rsid w:val="419E6238"/>
    <w:rsid w:val="45DE3CAE"/>
    <w:rsid w:val="46691693"/>
    <w:rsid w:val="4A297CE3"/>
    <w:rsid w:val="519E46A9"/>
    <w:rsid w:val="53413FF0"/>
    <w:rsid w:val="545F5CDF"/>
    <w:rsid w:val="54F03C3B"/>
    <w:rsid w:val="56FE5F4A"/>
    <w:rsid w:val="58F42B03"/>
    <w:rsid w:val="5A1D6871"/>
    <w:rsid w:val="5AB96E19"/>
    <w:rsid w:val="62C946C9"/>
    <w:rsid w:val="62DA7A0D"/>
    <w:rsid w:val="63431358"/>
    <w:rsid w:val="65EA5BC3"/>
    <w:rsid w:val="66F05574"/>
    <w:rsid w:val="670B151E"/>
    <w:rsid w:val="69C379DB"/>
    <w:rsid w:val="6A0D5DE7"/>
    <w:rsid w:val="6DC37495"/>
    <w:rsid w:val="715111B7"/>
    <w:rsid w:val="73D10123"/>
    <w:rsid w:val="78B47496"/>
    <w:rsid w:val="7A3674E1"/>
    <w:rsid w:val="7C192590"/>
    <w:rsid w:val="7F315B1F"/>
    <w:rsid w:val="7FE911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4"/>
    <w:link w:val="16"/>
    <w:qFormat/>
    <w:uiPriority w:val="0"/>
    <w:pPr>
      <w:keepNext/>
      <w:keepLines/>
      <w:spacing w:before="120" w:after="120" w:line="360" w:lineRule="auto"/>
      <w:contextualSpacing w:val="0"/>
      <w:outlineLvl w:val="0"/>
    </w:pPr>
    <w:rPr>
      <w:rFonts w:ascii="Arial" w:hAnsi="Arial" w:eastAsia="宋体"/>
      <w:b/>
      <w:spacing w:val="0"/>
      <w:kern w:val="44"/>
      <w:sz w:val="30"/>
      <w:szCs w:val="30"/>
    </w:rPr>
  </w:style>
  <w:style w:type="paragraph" w:styleId="6">
    <w:name w:val="heading 4"/>
    <w:basedOn w:val="1"/>
    <w:next w:val="1"/>
    <w:link w:val="15"/>
    <w:qFormat/>
    <w:uiPriority w:val="0"/>
    <w:pPr>
      <w:keepNext/>
      <w:keepLines/>
      <w:spacing w:before="280" w:after="290" w:line="372" w:lineRule="auto"/>
      <w:outlineLvl w:val="3"/>
    </w:pPr>
    <w:rPr>
      <w:rFonts w:ascii="Arial" w:hAnsi="Arial" w:eastAsia="黑体"/>
      <w:b/>
      <w:sz w:val="28"/>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19"/>
    <w:qFormat/>
    <w:uiPriority w:val="10"/>
    <w:pPr>
      <w:spacing w:after="80"/>
      <w:contextualSpacing/>
      <w:jc w:val="center"/>
    </w:pPr>
    <w:rPr>
      <w:rFonts w:ascii="等线 Light" w:hAnsi="等线 Light" w:eastAsia="等线 Light"/>
      <w:spacing w:val="-10"/>
      <w:kern w:val="28"/>
      <w:sz w:val="56"/>
      <w:szCs w:val="56"/>
    </w:rPr>
  </w:style>
  <w:style w:type="paragraph" w:styleId="4">
    <w:name w:val="Body Text First Indent"/>
    <w:basedOn w:val="5"/>
    <w:link w:val="21"/>
    <w:unhideWhenUsed/>
    <w:qFormat/>
    <w:uiPriority w:val="99"/>
    <w:pPr>
      <w:ind w:firstLine="420" w:firstLineChars="100"/>
    </w:pPr>
  </w:style>
  <w:style w:type="paragraph" w:styleId="5">
    <w:name w:val="Body Text"/>
    <w:basedOn w:val="1"/>
    <w:link w:val="20"/>
    <w:unhideWhenUsed/>
    <w:qFormat/>
    <w:uiPriority w:val="99"/>
    <w:pPr>
      <w:spacing w:after="120"/>
    </w:pPr>
  </w:style>
  <w:style w:type="paragraph" w:styleId="7">
    <w:name w:val="annotation text"/>
    <w:basedOn w:val="1"/>
    <w:qFormat/>
    <w:uiPriority w:val="0"/>
    <w:pPr>
      <w:jc w:val="left"/>
    </w:pPr>
  </w:style>
  <w:style w:type="paragraph" w:styleId="8">
    <w:name w:val="Body Text Indent"/>
    <w:basedOn w:val="1"/>
    <w:link w:val="17"/>
    <w:unhideWhenUsed/>
    <w:qFormat/>
    <w:uiPriority w:val="99"/>
    <w:pPr>
      <w:spacing w:after="120"/>
      <w:ind w:left="420" w:leftChars="200"/>
    </w:pPr>
  </w:style>
  <w:style w:type="paragraph" w:styleId="9">
    <w:name w:val="footer"/>
    <w:basedOn w:val="1"/>
    <w:link w:val="24"/>
    <w:unhideWhenUsed/>
    <w:qFormat/>
    <w:uiPriority w:val="99"/>
    <w:pPr>
      <w:tabs>
        <w:tab w:val="center" w:pos="4153"/>
        <w:tab w:val="right" w:pos="8306"/>
      </w:tabs>
      <w:snapToGrid w:val="0"/>
      <w:jc w:val="left"/>
    </w:pPr>
    <w:rPr>
      <w:rFonts w:ascii="Times New Roman" w:hAnsi="Times New Roman"/>
      <w:kern w:val="0"/>
      <w:sz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rPr>
  </w:style>
  <w:style w:type="paragraph" w:styleId="11">
    <w:name w:val="Normal (Web)"/>
    <w:basedOn w:val="1"/>
    <w:unhideWhenUsed/>
    <w:qFormat/>
    <w:uiPriority w:val="0"/>
    <w:pPr>
      <w:widowControl/>
      <w:spacing w:before="100" w:beforeAutospacing="1" w:after="100" w:afterAutospacing="1" w:line="281" w:lineRule="atLeast"/>
      <w:jc w:val="left"/>
    </w:pPr>
    <w:rPr>
      <w:rFonts w:ascii="宋体" w:hAnsi="宋体"/>
      <w:kern w:val="0"/>
      <w:sz w:val="24"/>
    </w:rPr>
  </w:style>
  <w:style w:type="paragraph" w:styleId="12">
    <w:name w:val="Body Text First Indent 2"/>
    <w:basedOn w:val="8"/>
    <w:link w:val="18"/>
    <w:unhideWhenUsed/>
    <w:qFormat/>
    <w:uiPriority w:val="99"/>
    <w:pPr>
      <w:ind w:firstLine="420" w:firstLineChars="200"/>
    </w:pPr>
  </w:style>
  <w:style w:type="character" w:customStyle="1" w:styleId="15">
    <w:name w:val="标题 4 字符"/>
    <w:link w:val="6"/>
    <w:qFormat/>
    <w:uiPriority w:val="0"/>
    <w:rPr>
      <w:rFonts w:ascii="Arial" w:hAnsi="Arial" w:eastAsia="黑体"/>
      <w:b/>
      <w:sz w:val="28"/>
    </w:rPr>
  </w:style>
  <w:style w:type="character" w:customStyle="1" w:styleId="16">
    <w:name w:val="标题 1 字符"/>
    <w:link w:val="2"/>
    <w:qFormat/>
    <w:uiPriority w:val="0"/>
    <w:rPr>
      <w:rFonts w:ascii="Arial" w:hAnsi="Arial"/>
      <w:b/>
      <w:kern w:val="44"/>
      <w:sz w:val="30"/>
      <w:szCs w:val="30"/>
    </w:rPr>
  </w:style>
  <w:style w:type="character" w:customStyle="1" w:styleId="17">
    <w:name w:val="正文文本缩进 字符"/>
    <w:link w:val="8"/>
    <w:qFormat/>
    <w:uiPriority w:val="99"/>
    <w:rPr>
      <w:kern w:val="2"/>
      <w:sz w:val="21"/>
      <w:szCs w:val="24"/>
    </w:rPr>
  </w:style>
  <w:style w:type="character" w:customStyle="1" w:styleId="18">
    <w:name w:val="正文文本首行缩进 2 字符"/>
    <w:link w:val="12"/>
    <w:qFormat/>
    <w:uiPriority w:val="99"/>
    <w:rPr>
      <w:kern w:val="2"/>
      <w:sz w:val="21"/>
      <w:szCs w:val="24"/>
    </w:rPr>
  </w:style>
  <w:style w:type="character" w:customStyle="1" w:styleId="19">
    <w:name w:val="标题 字符"/>
    <w:link w:val="3"/>
    <w:qFormat/>
    <w:uiPriority w:val="10"/>
    <w:rPr>
      <w:rFonts w:ascii="等线 Light" w:hAnsi="等线 Light" w:eastAsia="等线 Light"/>
      <w:spacing w:val="-10"/>
      <w:kern w:val="28"/>
      <w:sz w:val="56"/>
      <w:szCs w:val="56"/>
    </w:rPr>
  </w:style>
  <w:style w:type="character" w:customStyle="1" w:styleId="20">
    <w:name w:val="正文文本 字符"/>
    <w:link w:val="5"/>
    <w:qFormat/>
    <w:uiPriority w:val="99"/>
    <w:rPr>
      <w:kern w:val="2"/>
      <w:sz w:val="21"/>
      <w:szCs w:val="24"/>
    </w:rPr>
  </w:style>
  <w:style w:type="character" w:customStyle="1" w:styleId="21">
    <w:name w:val="正文文本首行缩进 字符"/>
    <w:link w:val="4"/>
    <w:qFormat/>
    <w:uiPriority w:val="99"/>
    <w:rPr>
      <w:kern w:val="2"/>
      <w:sz w:val="21"/>
      <w:szCs w:val="24"/>
    </w:rPr>
  </w:style>
  <w:style w:type="paragraph" w:customStyle="1" w:styleId="22">
    <w:name w:val="msonormal"/>
    <w:basedOn w:val="1"/>
    <w:qFormat/>
    <w:uiPriority w:val="0"/>
    <w:pPr>
      <w:widowControl/>
      <w:spacing w:before="100" w:beforeAutospacing="1" w:after="100" w:afterAutospacing="1" w:line="281" w:lineRule="atLeast"/>
      <w:jc w:val="left"/>
    </w:pPr>
    <w:rPr>
      <w:rFonts w:ascii="宋体" w:hAnsi="宋体"/>
      <w:kern w:val="0"/>
      <w:sz w:val="24"/>
    </w:rPr>
  </w:style>
  <w:style w:type="character" w:customStyle="1" w:styleId="23">
    <w:name w:val="页眉 字符"/>
    <w:link w:val="10"/>
    <w:qFormat/>
    <w:uiPriority w:val="99"/>
    <w:rPr>
      <w:rFonts w:ascii="Times New Roman" w:hAnsi="Times New Roman"/>
      <w:sz w:val="18"/>
      <w:szCs w:val="24"/>
    </w:rPr>
  </w:style>
  <w:style w:type="character" w:customStyle="1" w:styleId="24">
    <w:name w:val="页脚 字符"/>
    <w:link w:val="9"/>
    <w:qFormat/>
    <w:uiPriority w:val="99"/>
    <w:rPr>
      <w:rFonts w:ascii="Times New Roman" w:hAnsi="Times New Roman"/>
      <w:sz w:val="18"/>
      <w:szCs w:val="24"/>
    </w:rPr>
  </w:style>
  <w:style w:type="paragraph" w:customStyle="1" w:styleId="25">
    <w:name w:val="Revision"/>
    <w:hidden/>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C36D0-1C46-43CA-8447-5D43674BB6E8}">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26</Pages>
  <Words>8588</Words>
  <Characters>8905</Characters>
  <Lines>134</Lines>
  <Paragraphs>37</Paragraphs>
  <TotalTime>65</TotalTime>
  <ScaleCrop>false</ScaleCrop>
  <LinksUpToDate>false</LinksUpToDate>
  <CharactersWithSpaces>9252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cp:lastModifiedBy>
  <dcterms:modified xsi:type="dcterms:W3CDTF">2025-06-16T09:53:15Z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986D35D23ECE406ABAFA19008F9A4DF6_13</vt:lpwstr>
  </property>
  <property fmtid="{D5CDD505-2E9C-101B-9397-08002B2CF9AE}" pid="4" name="KSOTemplateDocerSaveRecord">
    <vt:lpwstr>eyJoZGlkIjoiOGIyM2ZlOTAyOGY2NDEyYzJjMTRjMmI5NTcwYjZiNzIiLCJ1c2VySWQiOiIzNDU5Nzg4NDAifQ==</vt:lpwstr>
  </property>
</Properties>
</file>